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0"/>
      </w:tblGrid>
      <w:tr>
        <w:trPr>
          <w:trHeight w:val="350" w:hRule="atLeast"/>
        </w:trPr>
        <w:tc>
          <w:tcPr>
            <w:tcW w:w="9350" w:type="dxa"/>
            <w:tcBorders/>
          </w:tcPr>
          <w:p>
            <w:pPr>
              <w:pStyle w:val="Normal"/>
              <w:widowControl w:val="false"/>
              <w:suppressAutoHyphens w:val="true"/>
              <w:spacing w:lineRule="auto" w:line="36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Research Theme: Computational Biology; AI; MIcrobiology</w:t>
            </w:r>
          </w:p>
        </w:tc>
      </w:tr>
      <w:tr>
        <w:trPr>
          <w:trHeight w:val="620" w:hRule="atLeast"/>
        </w:trPr>
        <w:tc>
          <w:tcPr>
            <w:tcW w:w="9350" w:type="dxa"/>
            <w:tcBorders/>
          </w:tcPr>
          <w:p>
            <w:pPr>
              <w:pStyle w:val="Normal"/>
              <w:widowControl w:val="false"/>
              <w:suppressAutoHyphens w:val="true"/>
              <w:spacing w:lineRule="auto" w:line="24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 xml:space="preserve">PhD Research Project Title: </w:t>
            </w:r>
          </w:p>
          <w:p>
            <w:pPr>
              <w:pStyle w:val="Normal"/>
              <w:widowControl w:val="false"/>
              <w:suppressAutoHyphens w:val="true"/>
              <w:spacing w:lineRule="auto" w:line="240" w:before="0" w:after="0"/>
              <w:ind w:left="360" w:hanging="0"/>
              <w:jc w:val="left"/>
              <w:rPr>
                <w:rFonts w:ascii="Arial" w:hAnsi="Arial" w:eastAsia="Helvetica Neue" w:cs="Arial"/>
                <w:color w:val="000000" w:themeColor="text1"/>
                <w:sz w:val="22"/>
                <w:szCs w:val="22"/>
              </w:rPr>
            </w:pPr>
            <w:r>
              <w:rPr>
                <w:rFonts w:eastAsia="宋体" w:cs="Arial" w:ascii="Arial" w:hAnsi="Arial"/>
                <w:b/>
                <w:i w:val="false"/>
                <w:caps w:val="false"/>
                <w:smallCaps w:val="false"/>
                <w:strike w:val="false"/>
                <w:dstrike w:val="false"/>
                <w:color w:val="000000"/>
                <w:kern w:val="0"/>
                <w:sz w:val="22"/>
                <w:szCs w:val="22"/>
                <w:u w:val="none"/>
                <w:effect w:val="none"/>
                <w:shd w:fill="auto" w:val="clear"/>
                <w:lang w:val="en-US" w:eastAsia="zh-CN" w:bidi="ar-SA"/>
              </w:rPr>
              <w:t>Predicting</w:t>
            </w:r>
            <w:r>
              <w:rPr>
                <w:rFonts w:eastAsia="Helvetica Neue" w:cs="Arial" w:ascii="Arial" w:hAnsi="Arial"/>
                <w:b/>
                <w:i w:val="false"/>
                <w:caps w:val="false"/>
                <w:smallCaps w:val="false"/>
                <w:strike w:val="false"/>
                <w:dstrike w:val="false"/>
                <w:color w:val="000000" w:themeColor="text1"/>
                <w:kern w:val="0"/>
                <w:sz w:val="22"/>
                <w:szCs w:val="22"/>
                <w:u w:val="none"/>
                <w:effect w:val="none"/>
                <w:shd w:fill="auto" w:val="clear"/>
                <w:lang w:val="en-US" w:eastAsia="zh-CN" w:bidi="ar-SA"/>
              </w:rPr>
              <w:t xml:space="preserve"> DNA-Protein Binding via AI to Decode Gene Regulatory Networks</w:t>
            </w:r>
          </w:p>
          <w:p>
            <w:pPr>
              <w:pStyle w:val="Normal"/>
              <w:widowControl w:val="false"/>
              <w:suppressAutoHyphens w:val="true"/>
              <w:spacing w:lineRule="auto" w:line="360" w:before="0" w:after="0"/>
              <w:jc w:val="left"/>
              <w:rPr>
                <w:lang w:val="en-SG"/>
              </w:rPr>
            </w:pPr>
            <w:r>
              <w:rPr>
                <w:lang w:val="en-SG"/>
              </w:rPr>
            </w:r>
          </w:p>
        </w:tc>
      </w:tr>
      <w:tr>
        <w:trPr>
          <w:trHeight w:val="350" w:hRule="atLeast"/>
        </w:trPr>
        <w:tc>
          <w:tcPr>
            <w:tcW w:w="9350" w:type="dxa"/>
            <w:tcBorders/>
          </w:tcPr>
          <w:p>
            <w:pPr>
              <w:pStyle w:val="Normal"/>
              <w:widowControl w:val="false"/>
              <w:suppressAutoHyphens w:val="true"/>
              <w:spacing w:lineRule="auto" w:line="36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Scholarship category (Please indicate the source of funding for this project):</w:t>
            </w:r>
          </w:p>
          <w:p>
            <w:pPr>
              <w:pStyle w:val="ListParagraph"/>
              <w:widowControl w:val="false"/>
              <w:numPr>
                <w:ilvl w:val="0"/>
                <w:numId w:val="1"/>
              </w:numPr>
              <w:suppressAutoHyphens w:val="true"/>
              <w:spacing w:lineRule="auto" w:line="360" w:before="280" w:after="0"/>
              <w:jc w:val="left"/>
              <w:rPr>
                <w:rFonts w:ascii="Calibri,Bold" w:hAnsi="Calibri,Bold" w:eastAsia="宋体" w:cs="Calibri,Bold" w:eastAsiaTheme="minorEastAsia"/>
                <w:b/>
                <w:b/>
                <w:bCs/>
                <w:color w:val="000000"/>
                <w:sz w:val="22"/>
                <w:szCs w:val="22"/>
                <w:lang w:val="en-US"/>
              </w:rPr>
            </w:pPr>
            <w:r>
              <w:rPr>
                <w:rFonts w:eastAsia="宋体" w:cs="Calibri,Bold" w:ascii="Calibri,Bold" w:hAnsi="Calibri,Bold" w:eastAsiaTheme="minorEastAsia"/>
                <w:b/>
                <w:bCs/>
                <w:color w:val="000000"/>
                <w:kern w:val="0"/>
                <w:sz w:val="22"/>
                <w:szCs w:val="22"/>
                <w:lang w:val="en-US" w:eastAsia="zh-CN" w:bidi="ar-SA"/>
              </w:rPr>
              <w:t>SBS Research Student Scholarship (for SBS faculty only)</w:t>
            </w:r>
          </w:p>
        </w:tc>
      </w:tr>
      <w:tr>
        <w:trPr>
          <w:trHeight w:val="350" w:hRule="atLeast"/>
        </w:trPr>
        <w:tc>
          <w:tcPr>
            <w:tcW w:w="9350" w:type="dxa"/>
            <w:tcBorders/>
          </w:tcPr>
          <w:p>
            <w:pPr>
              <w:pStyle w:val="Normal"/>
              <w:widowControl w:val="false"/>
              <w:suppressAutoHyphens w:val="true"/>
              <w:spacing w:lineRule="auto" w:line="36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Principal Investigator/Supervisor: Anni Zhang</w:t>
            </w:r>
          </w:p>
        </w:tc>
      </w:tr>
      <w:tr>
        <w:trPr>
          <w:trHeight w:val="350" w:hRule="atLeast"/>
        </w:trPr>
        <w:tc>
          <w:tcPr>
            <w:tcW w:w="9350" w:type="dxa"/>
            <w:tcBorders/>
          </w:tcPr>
          <w:p>
            <w:pPr>
              <w:pStyle w:val="Normal"/>
              <w:widowControl w:val="false"/>
              <w:suppressAutoHyphens w:val="true"/>
              <w:spacing w:lineRule="auto" w:line="36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 xml:space="preserve">Co-supervisor/ Collaborator(s) (if any): </w:t>
            </w:r>
          </w:p>
        </w:tc>
      </w:tr>
      <w:tr>
        <w:trPr>
          <w:trHeight w:val="980" w:hRule="atLeast"/>
        </w:trPr>
        <w:tc>
          <w:tcPr>
            <w:tcW w:w="9350" w:type="dxa"/>
            <w:tcBorders/>
          </w:tcPr>
          <w:p>
            <w:pPr>
              <w:pStyle w:val="Normal"/>
              <w:widowControl w:val="false"/>
              <w:suppressAutoHyphens w:val="true"/>
              <w:spacing w:lineRule="auto" w:line="360" w:before="0" w:after="0"/>
              <w:jc w:val="center"/>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Project Description</w:t>
            </w:r>
          </w:p>
          <w:p>
            <w:pPr>
              <w:pStyle w:val="Normal"/>
              <w:widowControl w:val="false"/>
              <w:suppressAutoHyphens w:val="true"/>
              <w:spacing w:lineRule="auto" w:line="360" w:before="0" w:after="0"/>
              <w:jc w:val="left"/>
              <w:rPr>
                <w:rFonts w:ascii="Calibri,Bold" w:hAnsi="Calibri,Bold" w:cs="Calibri,Bold"/>
                <w:b/>
                <w:b/>
                <w:bCs/>
                <w:color w:val="000000"/>
              </w:rPr>
            </w:pPr>
            <w:r>
              <w:rPr>
                <w:rFonts w:eastAsia="宋体" w:cs="Calibri,Bold" w:ascii="Calibri,Bold" w:hAnsi="Calibri,Bold"/>
                <w:b/>
                <w:bCs/>
                <w:color w:val="000000"/>
                <w:kern w:val="0"/>
                <w:sz w:val="22"/>
                <w:szCs w:val="22"/>
                <w:lang w:val="en-US" w:eastAsia="zh-CN" w:bidi="ar-SA"/>
              </w:rPr>
              <w:t xml:space="preserve">a) Background: </w:t>
            </w:r>
          </w:p>
          <w:p>
            <w:pPr>
              <w:pStyle w:val="Default"/>
              <w:rPr>
                <w:rFonts w:eastAsia="Helvetica Neue"/>
                <w:color w:val="000000" w:themeColor="text1"/>
                <w:sz w:val="22"/>
                <w:szCs w:val="22"/>
              </w:rPr>
            </w:pPr>
            <w:r>
              <w:rPr>
                <w:rFonts w:eastAsia="Helvetica Neue"/>
                <w:color w:val="000000" w:themeColor="text1"/>
                <w:sz w:val="22"/>
                <w:szCs w:val="22"/>
              </w:rPr>
              <w:t xml:space="preserve">Interpretation of gene regulatory networks enables the prediction of cellular behavior in response to environmental factors and interactions with other organisms. Predicting DNA-protein binding, especially identifying the binding sites of transcription factors (TFs), is an effective method to decode gene regulatory networks from genomes. However, experimentally identifying the binding sites for a TF often requires extensive laboratory work. For example, to interpret regulatory networks in </w:t>
            </w:r>
            <w:r>
              <w:rPr>
                <w:rFonts w:eastAsia="Helvetica Neue"/>
                <w:i/>
                <w:iCs/>
                <w:color w:val="000000" w:themeColor="text1"/>
                <w:sz w:val="22"/>
                <w:szCs w:val="22"/>
              </w:rPr>
              <w:t>Pseudomonas aeruginosa</w:t>
            </w:r>
            <w:r>
              <w:rPr>
                <w:rFonts w:eastAsia="Helvetica Neue"/>
                <w:color w:val="000000" w:themeColor="text1"/>
                <w:sz w:val="22"/>
                <w:szCs w:val="22"/>
              </w:rPr>
              <w:t xml:space="preserve">, one study combined chromatin immunoprecipitation sequencing (ChIP-seq) with RNA-seq on </w:t>
            </w:r>
            <w:r>
              <w:rPr>
                <w:rFonts w:eastAsia="Helvetica Neue"/>
                <w:i/>
                <w:iCs/>
                <w:color w:val="000000" w:themeColor="text1"/>
                <w:sz w:val="22"/>
                <w:szCs w:val="22"/>
              </w:rPr>
              <w:t>P. aeruginosa</w:t>
            </w:r>
            <w:r>
              <w:rPr>
                <w:rFonts w:eastAsia="Helvetica Neue"/>
                <w:color w:val="000000" w:themeColor="text1"/>
                <w:sz w:val="22"/>
                <w:szCs w:val="22"/>
              </w:rPr>
              <w:t xml:space="preserve"> mutants. For each TF, a mutant was created to overexpress the TF, resulting in regulatory profiles for only 20 TFs </w:t>
            </w:r>
            <w:r>
              <w:fldChar w:fldCharType="begin"/>
            </w:r>
            <w:r>
              <w:rPr>
                <w:sz w:val="22"/>
                <w:szCs w:val="22"/>
                <w:rFonts w:eastAsia="Helvetica Neue"/>
                <w:color w:val="000000"/>
              </w:rPr>
              <w:instrText xml:space="preserve">ADDIN ZOTERO_ITEM CSL_CITATION {"citationID":"XGV9eHSv","properties":{"formattedCitation":"(Huang {\\i{}et al.} 2019)","plainCitation":"(Huang et al. 2019)","noteIndex":0},"citationItems":[{"id":1259,"uris":["http://zotero.org/users/local/l0JRNj6C/items/PR4FIUFN"],"itemData":{"id":1259,"type":"article-journal","container-title":"Nature communications","issue":"1","note":"publisher: Nature Publishing Group UK London","page":"2931","title":"An integrated genomic regulatory network of virulence-related transcriptional factors in Pseudomonas aeruginosa","volume":"10","author":[{"family":"Huang","given":"Hao"},{"family":"Shao","given":"Xiaolong"},{"family":"Xie","given":"Yingpeng"},{"family":"Wang","given":"Tingting"},{"family":"Zhang","given":"Yingchao"},{"family":"Wang","given":"Xin"},{"family":"Deng","given":"Xin"}],"issued":{"date-parts":[["2019"]]}}}],"schema":"https://github.com/citation-style-language/schema/raw/master/csl-citation.json"}</w:instrText>
            </w:r>
            <w:r>
              <w:rPr>
                <w:rFonts w:eastAsia="Helvetica Neue"/>
                <w:color w:val="000000" w:themeColor="text1"/>
                <w:sz w:val="22"/>
                <w:szCs w:val="22"/>
              </w:rPr>
            </w:r>
            <w:r>
              <w:rPr>
                <w:sz w:val="22"/>
                <w:szCs w:val="22"/>
                <w:rFonts w:eastAsia="Helvetica Neue"/>
                <w:color w:val="000000"/>
              </w:rPr>
              <w:fldChar w:fldCharType="separate"/>
            </w:r>
            <w:r>
              <w:rPr>
                <w:rFonts w:eastAsia="Helvetica Neue"/>
                <w:color w:val="000000" w:themeColor="text1"/>
                <w:sz w:val="22"/>
                <w:szCs w:val="22"/>
              </w:rPr>
            </w:r>
            <w:r>
              <w:rPr>
                <w:sz w:val="22"/>
                <w:szCs w:val="22"/>
              </w:rPr>
              <w:t xml:space="preserve">(Huang </w:t>
            </w:r>
            <w:r>
              <w:rPr>
                <w:i/>
                <w:iCs/>
                <w:sz w:val="22"/>
                <w:szCs w:val="22"/>
              </w:rPr>
              <w:t>et al.</w:t>
            </w:r>
            <w:r>
              <w:rPr>
                <w:sz w:val="22"/>
                <w:szCs w:val="22"/>
              </w:rPr>
              <w:t xml:space="preserve"> 2019)</w:t>
            </w:r>
            <w:r>
              <w:rPr>
                <w:rFonts w:eastAsia="Helvetica Neue"/>
                <w:color w:val="000000" w:themeColor="text1"/>
                <w:sz w:val="22"/>
                <w:szCs w:val="22"/>
              </w:rPr>
            </w:r>
            <w:r>
              <w:rPr>
                <w:sz w:val="22"/>
                <w:szCs w:val="22"/>
                <w:rFonts w:eastAsia="Helvetica Neue"/>
                <w:color w:val="000000"/>
              </w:rPr>
              <w:fldChar w:fldCharType="end"/>
            </w:r>
            <w:r>
              <w:rPr>
                <w:rFonts w:eastAsia="Helvetica Neue"/>
                <w:color w:val="000000" w:themeColor="text1"/>
                <w:sz w:val="22"/>
                <w:szCs w:val="22"/>
              </w:rPr>
              <w:t>. In addition, most studies focus on model organisms, as ChIP-seq requires at least 1 million cells, a quantity often unavailable from not-yet-cultured species.</w:t>
            </w:r>
          </w:p>
          <w:p>
            <w:pPr>
              <w:pStyle w:val="Default"/>
              <w:rPr>
                <w:rFonts w:eastAsia="Helvetica Neue"/>
                <w:color w:val="000000" w:themeColor="text1"/>
                <w:sz w:val="22"/>
                <w:szCs w:val="22"/>
              </w:rPr>
            </w:pPr>
            <w:r>
              <w:rPr/>
            </w:r>
          </w:p>
          <w:p>
            <w:pPr>
              <w:pStyle w:val="Normal"/>
              <w:widowControl w:val="false"/>
              <w:suppressAutoHyphens w:val="true"/>
              <w:spacing w:lineRule="auto" w:line="240" w:before="0" w:after="0"/>
              <w:jc w:val="left"/>
              <w:rPr>
                <w:rFonts w:ascii="Arial" w:hAnsi="Arial" w:eastAsia="Helvetica Neue" w:cs="Arial"/>
                <w:color w:val="000000" w:themeColor="text1"/>
                <w:sz w:val="22"/>
                <w:szCs w:val="22"/>
              </w:rPr>
            </w:pPr>
            <w:r>
              <w:rPr>
                <w:rFonts w:eastAsia="Helvetica Neue" w:cs="Arial" w:ascii="Arial" w:hAnsi="Arial"/>
                <w:b w:val="false"/>
                <w:bCs/>
                <w:i w:val="false"/>
                <w:caps w:val="false"/>
                <w:smallCaps w:val="false"/>
                <w:strike w:val="false"/>
                <w:dstrike w:val="false"/>
                <w:color w:val="000000" w:themeColor="text1"/>
                <w:kern w:val="0"/>
                <w:sz w:val="22"/>
                <w:szCs w:val="22"/>
                <w:u w:val="none"/>
                <w:effect w:val="none"/>
                <w:shd w:fill="auto" w:val="clear"/>
                <w:lang w:val="en-US" w:eastAsia="zh-CN" w:bidi="ar-SA"/>
              </w:rPr>
              <w:t>Computational methods, such as motif identification, comparative genomics, and machine learning models</w:t>
            </w:r>
            <w:r>
              <w:rPr>
                <w:rFonts w:eastAsia="Helvetica Neue" w:cs="Arial" w:ascii="Arial" w:hAnsi="Arial"/>
                <w:b w:val="false"/>
                <w:bCs/>
                <w:i w:val="false"/>
                <w:caps w:val="false"/>
                <w:smallCaps w:val="false"/>
                <w:strike w:val="false"/>
                <w:dstrike w:val="false"/>
                <w:color w:val="000000" w:themeColor="text1"/>
                <w:kern w:val="0"/>
                <w:sz w:val="22"/>
                <w:szCs w:val="22"/>
                <w:u w:val="none"/>
                <w:effect w:val="none"/>
                <w:shd w:fill="auto" w:val="clear"/>
                <w:lang w:val="en-US" w:eastAsia="zh-CN" w:bidi="ar-SA"/>
              </w:rPr>
              <w:t>, offer an alternative for predicting TF binding sites. However, they often require extra information about the TF.</w:t>
            </w:r>
          </w:p>
          <w:p>
            <w:pPr>
              <w:pStyle w:val="Normal"/>
              <w:widowControl w:val="false"/>
              <w:suppressAutoHyphens w:val="true"/>
              <w:spacing w:lineRule="auto" w:line="240" w:before="0" w:after="0"/>
              <w:jc w:val="left"/>
              <w:rPr>
                <w:color w:themeColor="text1"/>
                <w:highlight w:val="none"/>
                <w:shd w:fill="auto" w:val="clear"/>
              </w:rPr>
            </w:pPr>
            <w:r>
              <w:rPr>
                <w:color w:themeColor="text1"/>
                <w:shd w:fill="auto" w:val="clear"/>
              </w:rPr>
            </w:r>
          </w:p>
          <w:p>
            <w:pPr>
              <w:pStyle w:val="Normal"/>
              <w:rPr>
                <w:color w:themeColor="text1"/>
                <w:highlight w:val="none"/>
                <w:shd w:fill="auto" w:val="clear"/>
              </w:rPr>
            </w:pPr>
            <w:r>
              <w:rPr>
                <w:rFonts w:eastAsia="Helvetica Neue" w:cs="Arial" w:ascii="Arial" w:hAnsi="Arial"/>
                <w:color w:val="000000" w:themeColor="text1"/>
                <w:sz w:val="22"/>
                <w:szCs w:val="22"/>
                <w:shd w:fill="auto" w:val="clear"/>
              </w:rPr>
              <w:t>More importantly, most methods analyzed each binding site nucleotide base separately. However, binding involves the interaction among multiple amino acids and nucleotide bases. Without considering the spatial arrangement between protein and DNA, this approach limits the generalization of DNA-protein binding patterns for TFs without prior knowledge.</w:t>
            </w:r>
          </w:p>
          <w:p>
            <w:pPr>
              <w:pStyle w:val="Normal"/>
              <w:rPr>
                <w:rFonts w:ascii="Arial" w:hAnsi="Arial" w:eastAsia="Helvetica Neue" w:cs="Arial"/>
                <w:color w:val="000000" w:themeColor="text1"/>
                <w:sz w:val="22"/>
                <w:szCs w:val="22"/>
              </w:rPr>
            </w:pPr>
            <w:r>
              <w:rPr>
                <w:rFonts w:eastAsia="Helvetica Neue" w:cs="Arial" w:ascii="Arial" w:hAnsi="Arial"/>
                <w:color w:val="000000" w:themeColor="text1"/>
                <w:sz w:val="22"/>
                <w:szCs w:val="22"/>
                <w:shd w:fill="auto" w:val="clear"/>
              </w:rPr>
              <w:t xml:space="preserve">In summary, neither experimental nor existing computational methods can efficiently predict DNA-protein binding. Thus, there exists a </w:t>
            </w:r>
            <w:r>
              <w:rPr>
                <w:rFonts w:eastAsia="Helvetica Neue" w:cs="Arial" w:ascii="Arial" w:hAnsi="Arial"/>
                <w:i/>
                <w:color w:val="000000" w:themeColor="text1"/>
                <w:sz w:val="22"/>
                <w:szCs w:val="22"/>
                <w:u w:val="single"/>
                <w:shd w:fill="auto" w:val="clear"/>
              </w:rPr>
              <w:t xml:space="preserve">critical need </w:t>
            </w:r>
            <w:r>
              <w:rPr>
                <w:rFonts w:eastAsia="Helvetica Neue" w:cs="Arial" w:ascii="Arial" w:hAnsi="Arial"/>
                <w:color w:val="000000" w:themeColor="text1"/>
                <w:sz w:val="22"/>
                <w:szCs w:val="22"/>
                <w:shd w:fill="auto" w:val="clear"/>
              </w:rPr>
              <w:t>to design novel methods that 1) consider interactions between protein domain</w:t>
            </w:r>
            <w:r>
              <w:rPr>
                <w:rFonts w:eastAsia="Helvetica Neue" w:cs="Arial" w:ascii="Arial" w:hAnsi="Arial"/>
                <w:color w:val="000000" w:themeColor="text1"/>
                <w:sz w:val="22"/>
                <w:szCs w:val="22"/>
              </w:rPr>
              <w:t xml:space="preserve">s and DNA binding sites for more precise prediction, and 2) effectively generalize DNA-protein binding patterns for under-characterized TFs. </w:t>
            </w:r>
          </w:p>
          <w:p>
            <w:pPr>
              <w:pStyle w:val="Normal"/>
              <w:widowControl w:val="false"/>
              <w:suppressAutoHyphens w:val="true"/>
              <w:spacing w:lineRule="auto" w:line="240" w:before="0" w:after="0"/>
              <w:jc w:val="left"/>
              <w:rPr>
                <w:rFonts w:ascii="Calibri,Bold" w:hAnsi="Calibri,Bold" w:cs="Calibri,Bold"/>
                <w:b/>
                <w:b/>
                <w:bCs/>
                <w:color w:val="000000"/>
              </w:rPr>
            </w:pPr>
            <w:r>
              <w:rPr>
                <w:rFonts w:eastAsia="宋体" w:cs="Calibri,Bold" w:ascii="Calibri,Bold" w:hAnsi="Calibri,Bold"/>
                <w:b/>
                <w:bCs/>
                <w:color w:val="000000"/>
                <w:kern w:val="0"/>
                <w:sz w:val="22"/>
                <w:szCs w:val="22"/>
                <w:lang w:val="en-US" w:eastAsia="zh-CN" w:bidi="ar-SA"/>
              </w:rPr>
              <w:t>b) Proposed work:</w:t>
            </w:r>
          </w:p>
          <w:p>
            <w:pPr>
              <w:pStyle w:val="Normal"/>
              <w:widowControl w:val="false"/>
              <w:suppressAutoHyphens w:val="true"/>
              <w:spacing w:lineRule="auto" w:line="240" w:before="0" w:after="0"/>
              <w:jc w:val="left"/>
              <w:rPr>
                <w:rFonts w:ascii="Calibri" w:hAnsi="Calibri" w:eastAsia="宋体" w:cs=""/>
                <w:kern w:val="0"/>
                <w:sz w:val="22"/>
                <w:szCs w:val="22"/>
                <w:lang w:val="en-US" w:eastAsia="zh-CN" w:bidi="ar-SA"/>
              </w:rPr>
            </w:pPr>
            <w:r>
              <w:rPr>
                <w:rFonts w:eastAsia="宋体" w:cs=""/>
                <w:kern w:val="0"/>
                <w:sz w:val="22"/>
                <w:szCs w:val="22"/>
                <w:lang w:val="en-US" w:eastAsia="zh-CN" w:bidi="ar-SA"/>
              </w:rPr>
            </w:r>
          </w:p>
          <w:p>
            <w:pPr>
              <w:pStyle w:val="Normal"/>
              <w:rPr>
                <w:rFonts w:ascii="Arial" w:hAnsi="Arial" w:eastAsia="Helvetica Neue" w:cs="Arial"/>
                <w:color w:val="000000" w:themeColor="text1"/>
                <w:sz w:val="22"/>
                <w:szCs w:val="22"/>
              </w:rPr>
            </w:pPr>
            <w:r>
              <w:rPr>
                <w:rFonts w:eastAsia="Helvetica Neue" w:cs="Arial" w:ascii="Arial" w:hAnsi="Arial"/>
                <w:color w:val="000000" w:themeColor="text1"/>
                <w:sz w:val="22"/>
                <w:szCs w:val="22"/>
              </w:rPr>
              <w:t xml:space="preserve">Our </w:t>
            </w:r>
            <w:r>
              <w:rPr>
                <w:rFonts w:eastAsia="Helvetica Neue" w:cs="Arial" w:ascii="Arial" w:hAnsi="Arial"/>
                <w:i/>
                <w:color w:val="000000" w:themeColor="text1"/>
                <w:sz w:val="22"/>
                <w:szCs w:val="22"/>
                <w:u w:val="single"/>
              </w:rPr>
              <w:t>overall obje</w:t>
            </w:r>
            <w:r>
              <w:rPr>
                <w:rFonts w:eastAsia="Helvetica Neue" w:cs="Arial" w:ascii="Arial" w:hAnsi="Arial"/>
                <w:i/>
                <w:color w:val="000000" w:themeColor="text1"/>
                <w:sz w:val="22"/>
                <w:szCs w:val="22"/>
                <w:u w:val="single"/>
                <w:shd w:fill="auto" w:val="clear"/>
              </w:rPr>
              <w:t xml:space="preserve">ctive </w:t>
            </w:r>
            <w:r>
              <w:rPr>
                <w:rFonts w:eastAsia="Helvetica Neue" w:cs="Arial" w:ascii="Arial" w:hAnsi="Arial"/>
                <w:color w:val="000000" w:themeColor="text1"/>
                <w:sz w:val="22"/>
                <w:szCs w:val="22"/>
                <w:shd w:fill="auto" w:val="clear"/>
              </w:rPr>
              <w:t xml:space="preserve">is to design AI models to predict DNA-protein binding patterns for diverse TF-binding site pairs without the requirement of prior knowledge. Our </w:t>
            </w:r>
            <w:r>
              <w:rPr>
                <w:rFonts w:eastAsia="Helvetica Neue" w:cs="Arial" w:ascii="Arial" w:hAnsi="Arial"/>
                <w:i/>
                <w:color w:val="000000" w:themeColor="text1"/>
                <w:sz w:val="22"/>
                <w:szCs w:val="22"/>
                <w:u w:val="single"/>
                <w:shd w:fill="auto" w:val="clear"/>
              </w:rPr>
              <w:t>central hypothesis</w:t>
            </w:r>
            <w:r>
              <w:rPr>
                <w:rFonts w:eastAsia="Helvetica Neue" w:cs="Arial" w:ascii="Arial" w:hAnsi="Arial"/>
                <w:color w:val="000000" w:themeColor="text1"/>
                <w:sz w:val="22"/>
                <w:szCs w:val="22"/>
                <w:shd w:fill="auto" w:val="clear"/>
              </w:rPr>
              <w:t xml:space="preserve"> is that AI models, s</w:t>
            </w:r>
            <w:r>
              <w:rPr>
                <w:rFonts w:eastAsia="Helvetica Neue" w:cs="Arial" w:ascii="Arial" w:hAnsi="Arial"/>
                <w:color w:val="000000" w:themeColor="text1"/>
                <w:sz w:val="22"/>
                <w:szCs w:val="22"/>
              </w:rPr>
              <w:t>uch as language models, allow accurate prediction of DNA-protein binding. Our central hypothesis is based upon previous work and our preliminary data:</w:t>
            </w:r>
          </w:p>
          <w:p>
            <w:pPr>
              <w:pStyle w:val="Normal"/>
              <w:numPr>
                <w:ilvl w:val="0"/>
                <w:numId w:val="2"/>
              </w:numPr>
              <w:rPr>
                <w:rFonts w:ascii="Arial" w:hAnsi="Arial" w:eastAsia="Helvetica Neue" w:cs="Arial"/>
                <w:color w:val="000000" w:themeColor="text1"/>
                <w:sz w:val="22"/>
                <w:szCs w:val="22"/>
              </w:rPr>
            </w:pPr>
            <w:r>
              <w:rPr>
                <w:rFonts w:eastAsia="Helvetica Neue" w:cs="Arial" w:ascii="Arial" w:hAnsi="Arial"/>
                <w:color w:val="000000" w:themeColor="text1"/>
                <w:sz w:val="22"/>
                <w:szCs w:val="22"/>
              </w:rPr>
              <w:t xml:space="preserve">A language model BERT trained on DNA sequences demonstrated high accuracy (AUC = 94.7%) in predicting DNA-protein binding within human genomes </w:t>
            </w:r>
            <w:r>
              <w:fldChar w:fldCharType="begin"/>
            </w:r>
            <w:r>
              <w:rPr>
                <w:sz w:val="22"/>
                <w:szCs w:val="22"/>
                <w:rFonts w:eastAsia="Helvetica Neue" w:cs="Arial" w:ascii="Arial" w:hAnsi="Arial"/>
                <w:color w:val="000000"/>
              </w:rPr>
              <w:instrText xml:space="preserve">ADDIN ZOTERO_ITEM CSL_CITATION {"citationID":"x3spApKf","properties":{"formattedCitation":"(Luo {\\i{}et al.} 2023)","plainCitation":"(Luo et al. 2023)","noteIndex":0},"citationItems":[{"id":1033,"uris":["http://zotero.org/users/local/l0JRNj6C/items/QTTPX8BB"],"itemData":{"id":1033,"type":"article-journal","container-title":"Interdisciplinary Sciences: Computational Life Sciences","issue":"1","note":"publisher: Springer","page":"32–43","title":"Improving language model of human genome for DNA–protein binding prediction based on task-specific pre-training","volume":"15","author":[{"family":"Luo","given":"Hanyu"},{"family":"Shan","given":"Wenyu"},{"family":"Chen","given":"Cheng"},{"family":"Ding","given":"Pingjian"},{"family":"Luo","given":"Lingyun"}],"issued":{"date-parts":[["2023"]]}}}],"schema":"https://github.com/citation-style-language/schema/raw/master/csl-citation.json"}</w:instrText>
            </w:r>
            <w:r>
              <w:rPr>
                <w:rFonts w:eastAsia="Helvetica Neue" w:cs="Arial" w:ascii="Arial" w:hAnsi="Arial"/>
                <w:color w:val="000000" w:themeColor="text1"/>
                <w:sz w:val="22"/>
                <w:szCs w:val="22"/>
              </w:rPr>
            </w:r>
            <w:r>
              <w:rPr>
                <w:sz w:val="22"/>
                <w:szCs w:val="22"/>
                <w:rFonts w:eastAsia="Helvetica Neue" w:cs="Arial" w:ascii="Arial" w:hAnsi="Arial"/>
                <w:color w:val="000000"/>
              </w:rPr>
              <w:fldChar w:fldCharType="separate"/>
            </w:r>
            <w:r>
              <w:rPr>
                <w:rFonts w:eastAsia="Helvetica Neue" w:cs="Arial" w:ascii="Arial" w:hAnsi="Arial"/>
                <w:color w:val="000000" w:themeColor="text1"/>
                <w:sz w:val="22"/>
                <w:szCs w:val="22"/>
              </w:rPr>
            </w:r>
            <w:r>
              <w:rPr>
                <w:rFonts w:cs="Arial" w:ascii="Arial" w:hAnsi="Arial"/>
                <w:color w:val="000000"/>
                <w:sz w:val="22"/>
                <w:szCs w:val="22"/>
              </w:rPr>
              <w:t xml:space="preserve">(Luo </w:t>
            </w:r>
            <w:r>
              <w:rPr>
                <w:rFonts w:cs="Arial" w:ascii="Arial" w:hAnsi="Arial"/>
                <w:i/>
                <w:iCs/>
                <w:color w:val="000000"/>
                <w:sz w:val="22"/>
                <w:szCs w:val="22"/>
              </w:rPr>
              <w:t>et al.</w:t>
            </w:r>
            <w:r>
              <w:rPr>
                <w:rFonts w:cs="Arial" w:ascii="Arial" w:hAnsi="Arial"/>
                <w:color w:val="000000"/>
                <w:sz w:val="22"/>
                <w:szCs w:val="22"/>
              </w:rPr>
              <w:t xml:space="preserve"> 2023)</w:t>
            </w:r>
            <w:r>
              <w:rPr>
                <w:rFonts w:eastAsia="Helvetica Neue" w:cs="Arial" w:ascii="Arial" w:hAnsi="Arial"/>
                <w:color w:val="000000" w:themeColor="text1"/>
                <w:sz w:val="22"/>
                <w:szCs w:val="22"/>
              </w:rPr>
            </w:r>
            <w:r>
              <w:rPr>
                <w:sz w:val="22"/>
                <w:szCs w:val="22"/>
                <w:rFonts w:eastAsia="Helvetica Neue" w:cs="Arial" w:ascii="Arial" w:hAnsi="Arial"/>
                <w:color w:val="000000"/>
              </w:rPr>
              <w:fldChar w:fldCharType="end"/>
            </w:r>
            <w:r>
              <w:rPr>
                <w:rFonts w:eastAsia="Helvetica Neue" w:cs="Arial" w:ascii="Arial" w:hAnsi="Arial"/>
                <w:color w:val="000000" w:themeColor="text1"/>
                <w:sz w:val="22"/>
                <w:szCs w:val="22"/>
              </w:rPr>
              <w:t>.</w:t>
            </w:r>
          </w:p>
          <w:p>
            <w:pPr>
              <w:pStyle w:val="Normal"/>
              <w:numPr>
                <w:ilvl w:val="0"/>
                <w:numId w:val="2"/>
              </w:numPr>
              <w:rPr>
                <w:rFonts w:ascii="Arial" w:hAnsi="Arial" w:eastAsia="Helvetica Neue" w:cs="Arial"/>
                <w:color w:val="000000" w:themeColor="text1"/>
                <w:sz w:val="22"/>
                <w:szCs w:val="22"/>
              </w:rPr>
            </w:pPr>
            <w:r>
              <w:rPr>
                <w:rFonts w:eastAsia="Helvetica Neue" w:cs="Arial" w:ascii="Arial" w:hAnsi="Arial"/>
                <w:color w:val="000000" w:themeColor="text1"/>
                <w:sz w:val="22"/>
                <w:szCs w:val="22"/>
              </w:rPr>
              <w:t xml:space="preserve">A transformer-based capsule network reported high accuracy (AUC &gt; 91%) in predicting TF binding sites for all five human cell lines </w:t>
            </w:r>
            <w:r>
              <w:fldChar w:fldCharType="begin"/>
            </w:r>
            <w:r>
              <w:rPr>
                <w:sz w:val="22"/>
                <w:szCs w:val="22"/>
                <w:rFonts w:eastAsia="Helvetica Neue" w:cs="Arial" w:ascii="Arial" w:hAnsi="Arial"/>
                <w:color w:val="000000"/>
              </w:rPr>
              <w:instrText xml:space="preserve">ADDIN ZOTERO_ITEM CSL_CITATION {"citationID":"iHKzgkaC","properties":{"formattedCitation":"(Ghosh {\\i{}et al.} 2023)","plainCitation":"(Ghosh et al. 2023)","noteIndex":0},"citationItems":[{"id":1094,"uris":["http://zotero.org/users/local/l0JRNj6C/items/VCQLNSN8"],"itemData":{"id":1094,"type":"article-journal","container-title":"arXiv preprint arXiv:2310.15202","title":"Predicting Transcription Factor Binding Sites using Transformer based Capsule Network","author":[{"family":"Ghosh","given":"Nimisha"},{"family":"Santoni","given":"Daniele"},{"family":"Saha","given":"Indrajit"},{"family":"Felici","given":"Giovanni"}],"issued":{"date-parts":[["2023"]]}}}],"schema":"https://github.com/citation-style-language/schema/raw/master/csl-citation.json"}</w:instrText>
            </w:r>
            <w:r>
              <w:rPr>
                <w:rFonts w:eastAsia="Helvetica Neue" w:cs="Arial" w:ascii="Arial" w:hAnsi="Arial"/>
                <w:color w:val="000000" w:themeColor="text1"/>
                <w:sz w:val="22"/>
                <w:szCs w:val="22"/>
              </w:rPr>
            </w:r>
            <w:r>
              <w:rPr>
                <w:sz w:val="22"/>
                <w:szCs w:val="22"/>
                <w:rFonts w:eastAsia="Helvetica Neue" w:cs="Arial" w:ascii="Arial" w:hAnsi="Arial"/>
                <w:color w:val="000000"/>
              </w:rPr>
              <w:fldChar w:fldCharType="separate"/>
            </w:r>
            <w:r>
              <w:rPr>
                <w:rFonts w:eastAsia="Helvetica Neue" w:cs="Arial" w:ascii="Arial" w:hAnsi="Arial"/>
                <w:color w:val="000000" w:themeColor="text1"/>
                <w:sz w:val="22"/>
                <w:szCs w:val="22"/>
              </w:rPr>
            </w:r>
            <w:r>
              <w:rPr>
                <w:rFonts w:cs="Arial" w:ascii="Arial" w:hAnsi="Arial"/>
                <w:color w:val="000000"/>
                <w:sz w:val="22"/>
                <w:szCs w:val="22"/>
              </w:rPr>
              <w:t xml:space="preserve">(Ghosh </w:t>
            </w:r>
            <w:r>
              <w:rPr>
                <w:rFonts w:cs="Arial" w:ascii="Arial" w:hAnsi="Arial"/>
                <w:i/>
                <w:iCs/>
                <w:color w:val="000000"/>
                <w:sz w:val="22"/>
                <w:szCs w:val="22"/>
              </w:rPr>
              <w:t>et al.</w:t>
            </w:r>
            <w:r>
              <w:rPr>
                <w:rFonts w:cs="Arial" w:ascii="Arial" w:hAnsi="Arial"/>
                <w:color w:val="000000"/>
                <w:sz w:val="22"/>
                <w:szCs w:val="22"/>
              </w:rPr>
              <w:t xml:space="preserve"> 2023)</w:t>
            </w:r>
            <w:r>
              <w:rPr>
                <w:rFonts w:eastAsia="Helvetica Neue" w:cs="Arial" w:ascii="Arial" w:hAnsi="Arial"/>
                <w:color w:val="000000" w:themeColor="text1"/>
                <w:sz w:val="22"/>
                <w:szCs w:val="22"/>
              </w:rPr>
            </w:r>
            <w:r>
              <w:rPr>
                <w:sz w:val="22"/>
                <w:szCs w:val="22"/>
                <w:rFonts w:eastAsia="Helvetica Neue" w:cs="Arial" w:ascii="Arial" w:hAnsi="Arial"/>
                <w:color w:val="000000"/>
              </w:rPr>
              <w:fldChar w:fldCharType="end"/>
            </w:r>
            <w:r>
              <w:rPr>
                <w:rFonts w:eastAsia="Helvetica Neue" w:cs="Arial" w:ascii="Arial" w:hAnsi="Arial"/>
                <w:color w:val="000000" w:themeColor="text1"/>
                <w:sz w:val="22"/>
                <w:szCs w:val="22"/>
              </w:rPr>
              <w:t xml:space="preserve">.  </w:t>
            </w:r>
          </w:p>
          <w:p>
            <w:pPr>
              <w:pStyle w:val="Normal"/>
              <w:numPr>
                <w:ilvl w:val="0"/>
                <w:numId w:val="2"/>
              </w:numPr>
              <w:rPr>
                <w:rFonts w:ascii="Arial" w:hAnsi="Arial" w:eastAsia="Helvetica Neue" w:cs="Arial"/>
                <w:color w:val="000000" w:themeColor="text1"/>
                <w:sz w:val="22"/>
                <w:szCs w:val="22"/>
              </w:rPr>
            </w:pPr>
            <w:r>
              <w:rPr>
                <w:rFonts w:eastAsia="Helvetica Neue" w:cs="Arial" w:ascii="Arial" w:hAnsi="Arial"/>
                <w:color w:val="000000" w:themeColor="text1"/>
                <w:sz w:val="22"/>
                <w:szCs w:val="22"/>
              </w:rPr>
              <w:t xml:space="preserve">Deep neural network models have shown high accuracy in predicting </w:t>
            </w:r>
            <w:r>
              <w:rPr>
                <w:rFonts w:cs="Arial" w:ascii="Arial" w:hAnsi="Arial"/>
                <w:color w:val="000000" w:themeColor="text1"/>
                <w:sz w:val="22"/>
                <w:szCs w:val="22"/>
              </w:rPr>
              <w:t xml:space="preserve">binding site sequences </w:t>
            </w:r>
            <w:r>
              <w:rPr>
                <w:rFonts w:eastAsia="Helvetica Neue" w:cs="Arial" w:ascii="Arial" w:hAnsi="Arial"/>
                <w:color w:val="000000" w:themeColor="text1"/>
                <w:sz w:val="22"/>
                <w:szCs w:val="22"/>
              </w:rPr>
              <w:t xml:space="preserve">for </w:t>
            </w:r>
            <w:r>
              <w:rPr>
                <w:rFonts w:eastAsia="Helvetica Neue" w:cs="Arial" w:ascii="Arial" w:hAnsi="Arial"/>
                <w:i/>
                <w:color w:val="000000" w:themeColor="text1"/>
                <w:sz w:val="22"/>
                <w:szCs w:val="22"/>
              </w:rPr>
              <w:t>Saccharomyces cerevisiae</w:t>
            </w:r>
            <w:r>
              <w:rPr>
                <w:rFonts w:cs="Arial" w:ascii="Arial" w:hAnsi="Arial"/>
                <w:color w:val="000000" w:themeColor="text1"/>
                <w:sz w:val="22"/>
                <w:szCs w:val="22"/>
              </w:rPr>
              <w:t xml:space="preserve"> (Pearson’s r = 0.960, P &lt; 5 × 10−324, n = 61,150), facilitating expression engineering </w:t>
            </w:r>
            <w:r>
              <w:fldChar w:fldCharType="begin"/>
            </w:r>
            <w:r>
              <w:rPr>
                <w:sz w:val="22"/>
                <w:szCs w:val="22"/>
                <w:rFonts w:cs="Arial" w:ascii="Arial" w:hAnsi="Arial"/>
                <w:color w:val="000000"/>
              </w:rPr>
              <w:instrText xml:space="preserve">ADDIN ZOTERO_ITEM CSL_CITATION {"citationID":"L0vz0Tqk","properties":{"formattedCitation":"(Vaishnav {\\i{}et al.} 2022)","plainCitation":"(Vaishnav et al. 2022)","noteIndex":0},"citationItems":[{"id":1095,"uris":["http://zotero.org/users/local/l0JRNj6C/items/H7YFFLVP"],"itemData":{"id":1095,"type":"article-journal","container-title":"Nature","issue":"7901","note":"publisher: Nature Publishing Group UK London","page":"455–463","title":"The evolution, evolvability and engineering of gene regulatory DNA","volume":"603","author":[{"family":"Vaishnav","given":"Eeshit Dhaval"},{"family":"Boer","given":"Carl G","non-dropping-particle":"de"},{"family":"Molinet","given":"Jennifer"},{"family":"Yassour","given":"Moran"},{"family":"Fan","given":"Lin"},{"family":"Adiconis","given":"Xian"},{"family":"Thompson","given":"Dawn A"},{"family":"Levin","given":"Joshua Z"},{"family":"Cubillos","given":"Francisco A"},{"family":"Regev","given":"Aviv"}],"issued":{"date-parts":[["2022"]]}}}],"schema":"https://github.com/citation-style-language/schema/raw/master/csl-citation.json"}</w:instrText>
            </w:r>
            <w:r>
              <w:rPr>
                <w:rFonts w:cs="Arial" w:ascii="Arial" w:hAnsi="Arial"/>
                <w:color w:val="000000" w:themeColor="text1"/>
                <w:sz w:val="22"/>
                <w:szCs w:val="22"/>
              </w:rPr>
            </w:r>
            <w:r>
              <w:rPr>
                <w:sz w:val="22"/>
                <w:szCs w:val="22"/>
                <w:rFonts w:cs="Arial" w:ascii="Arial" w:hAnsi="Arial"/>
                <w:color w:val="000000"/>
              </w:rPr>
              <w:fldChar w:fldCharType="separate"/>
            </w:r>
            <w:r>
              <w:rPr>
                <w:rFonts w:cs="Arial" w:ascii="Arial" w:hAnsi="Arial"/>
                <w:color w:val="000000" w:themeColor="text1"/>
                <w:sz w:val="22"/>
                <w:szCs w:val="22"/>
              </w:rPr>
            </w:r>
            <w:r>
              <w:rPr>
                <w:rFonts w:cs="Arial" w:ascii="Arial" w:hAnsi="Arial"/>
                <w:color w:val="000000"/>
                <w:sz w:val="22"/>
                <w:szCs w:val="22"/>
              </w:rPr>
              <w:t xml:space="preserve">(Vaishnav </w:t>
            </w:r>
            <w:r>
              <w:rPr>
                <w:rFonts w:cs="Arial" w:ascii="Arial" w:hAnsi="Arial"/>
                <w:i/>
                <w:iCs/>
                <w:color w:val="000000"/>
                <w:sz w:val="22"/>
                <w:szCs w:val="22"/>
              </w:rPr>
              <w:t>et al.</w:t>
            </w:r>
            <w:r>
              <w:rPr>
                <w:rFonts w:cs="Arial" w:ascii="Arial" w:hAnsi="Arial"/>
                <w:color w:val="000000"/>
                <w:sz w:val="22"/>
                <w:szCs w:val="22"/>
              </w:rPr>
              <w:t xml:space="preserve"> 2022)</w:t>
            </w:r>
            <w:r>
              <w:rPr>
                <w:rFonts w:cs="Arial" w:ascii="Arial" w:hAnsi="Arial"/>
                <w:color w:val="000000" w:themeColor="text1"/>
                <w:sz w:val="22"/>
                <w:szCs w:val="22"/>
              </w:rPr>
            </w:r>
            <w:r>
              <w:rPr>
                <w:sz w:val="22"/>
                <w:szCs w:val="22"/>
                <w:rFonts w:cs="Arial" w:ascii="Arial" w:hAnsi="Arial"/>
                <w:color w:val="000000"/>
              </w:rPr>
              <w:fldChar w:fldCharType="end"/>
            </w:r>
            <w:r>
              <w:rPr>
                <w:rFonts w:cs="Arial" w:ascii="Arial" w:hAnsi="Arial"/>
                <w:color w:val="000000" w:themeColor="text1"/>
                <w:sz w:val="22"/>
                <w:szCs w:val="22"/>
              </w:rPr>
              <w:t>.</w:t>
            </w:r>
          </w:p>
          <w:p>
            <w:pPr>
              <w:pStyle w:val="Normal"/>
              <w:widowControl w:val="false"/>
              <w:numPr>
                <w:ilvl w:val="0"/>
                <w:numId w:val="2"/>
              </w:numPr>
              <w:suppressAutoHyphens w:val="true"/>
              <w:spacing w:lineRule="auto" w:line="240" w:before="0" w:after="0"/>
              <w:jc w:val="left"/>
              <w:rPr>
                <w:rFonts w:ascii="Arial" w:hAnsi="Arial" w:eastAsia="Helvetica Neue" w:cs="Arial"/>
                <w:color w:val="000000" w:themeColor="text1"/>
                <w:sz w:val="22"/>
                <w:szCs w:val="22"/>
              </w:rPr>
            </w:pPr>
            <w:r>
              <w:rPr>
                <w:rFonts w:eastAsia="Helvetica Neue" w:cs="Arial" w:ascii="Arial" w:hAnsi="Arial"/>
                <w:b w:val="false"/>
                <w:i w:val="false"/>
                <w:caps w:val="false"/>
                <w:smallCaps w:val="false"/>
                <w:strike w:val="false"/>
                <w:dstrike w:val="false"/>
                <w:color w:val="000000" w:themeColor="text1"/>
                <w:kern w:val="0"/>
                <w:sz w:val="22"/>
                <w:szCs w:val="22"/>
                <w:u w:val="none"/>
                <w:effect w:val="none"/>
                <w:shd w:fill="auto" w:val="clear"/>
                <w:lang w:val="en-US" w:eastAsia="zh-CN" w:bidi="ar-SA"/>
              </w:rPr>
              <w:t xml:space="preserve">Our </w:t>
            </w:r>
            <w:r>
              <w:rPr>
                <w:rFonts w:eastAsia="Helvetica Neue" w:cs="Arial" w:ascii="Arial" w:hAnsi="Arial"/>
                <w:b w:val="false"/>
                <w:i/>
                <w:iCs/>
                <w:caps w:val="false"/>
                <w:smallCaps w:val="false"/>
                <w:strike w:val="false"/>
                <w:dstrike w:val="false"/>
                <w:color w:val="000000" w:themeColor="text1"/>
                <w:kern w:val="0"/>
                <w:sz w:val="22"/>
                <w:szCs w:val="22"/>
                <w:u w:val="single"/>
                <w:effect w:val="none"/>
                <w:shd w:fill="auto" w:val="clear"/>
                <w:lang w:val="en-US" w:eastAsia="zh-CN" w:bidi="ar-SA"/>
              </w:rPr>
              <w:t>prototype models</w:t>
            </w:r>
            <w:r>
              <w:rPr>
                <w:rFonts w:eastAsia="Helvetica Neue" w:cs="Arial" w:ascii="Arial" w:hAnsi="Arial"/>
                <w:b w:val="false"/>
                <w:i w:val="false"/>
                <w:caps w:val="false"/>
                <w:smallCaps w:val="false"/>
                <w:strike w:val="false"/>
                <w:dstrike w:val="false"/>
                <w:color w:val="000000" w:themeColor="text1"/>
                <w:kern w:val="0"/>
                <w:sz w:val="22"/>
                <w:szCs w:val="22"/>
                <w:u w:val="none"/>
                <w:effect w:val="none"/>
                <w:shd w:fill="auto" w:val="clear"/>
                <w:lang w:val="en-US" w:eastAsia="zh-CN" w:bidi="ar-SA"/>
              </w:rPr>
              <w:t xml:space="preserve">, trained on </w:t>
            </w:r>
            <w:r>
              <w:rPr>
                <w:rFonts w:eastAsia="Helvetica Neue" w:cs="Arial" w:ascii="Arial" w:hAnsi="Arial"/>
                <w:b w:val="false"/>
                <w:i/>
                <w:iCs/>
                <w:caps w:val="false"/>
                <w:smallCaps w:val="false"/>
                <w:strike w:val="false"/>
                <w:dstrike w:val="false"/>
                <w:color w:val="000000" w:themeColor="text1"/>
                <w:kern w:val="0"/>
                <w:sz w:val="22"/>
                <w:szCs w:val="22"/>
                <w:u w:val="none"/>
                <w:effect w:val="none"/>
                <w:shd w:fill="auto" w:val="clear"/>
                <w:lang w:val="en-US" w:eastAsia="zh-CN" w:bidi="ar-SA"/>
              </w:rPr>
              <w:t>E. coli</w:t>
            </w:r>
            <w:r>
              <w:rPr>
                <w:rFonts w:eastAsia="Helvetica Neue" w:cs="Arial" w:ascii="Arial" w:hAnsi="Arial"/>
                <w:b w:val="false"/>
                <w:i w:val="false"/>
                <w:caps w:val="false"/>
                <w:smallCaps w:val="false"/>
                <w:strike w:val="false"/>
                <w:dstrike w:val="false"/>
                <w:color w:val="000000" w:themeColor="text1"/>
                <w:kern w:val="0"/>
                <w:sz w:val="22"/>
                <w:szCs w:val="22"/>
                <w:u w:val="none"/>
                <w:effect w:val="none"/>
                <w:shd w:fill="auto" w:val="clear"/>
                <w:lang w:val="en-US" w:eastAsia="zh-CN" w:bidi="ar-SA"/>
              </w:rPr>
              <w:t xml:space="preserve"> DNA-TF binding pairs, achieved a prediction accuracy of 73.7%. The model successfully predicted higher binding probabilities for true positives than for true negatives in two of the three TF families (compared to one by AlphaFold3). Additionally, it identified the complex DNA-TF dimer binding structure and accurately recognized the known DNA binding domain (Fisher's test, p = 0.001).</w:t>
            </w:r>
          </w:p>
          <w:p>
            <w:pPr>
              <w:pStyle w:val="Normal"/>
              <w:widowControl w:val="false"/>
              <w:suppressAutoHyphens w:val="true"/>
              <w:spacing w:lineRule="auto" w:line="240" w:before="0" w:after="0"/>
              <w:jc w:val="left"/>
              <w:rPr>
                <w:rFonts w:ascii="Calibri" w:hAnsi="Calibri" w:eastAsia="宋体" w:cs=""/>
                <w:kern w:val="0"/>
                <w:sz w:val="22"/>
                <w:szCs w:val="22"/>
                <w:lang w:val="en-US" w:eastAsia="zh-CN" w:bidi="ar-SA"/>
              </w:rPr>
            </w:pPr>
            <w:r>
              <w:rPr>
                <w:rFonts w:eastAsia="宋体" w:cs=""/>
                <w:kern w:val="0"/>
                <w:sz w:val="22"/>
                <w:szCs w:val="22"/>
                <w:lang w:val="en-US" w:eastAsia="zh-CN" w:bidi="ar-SA"/>
              </w:rPr>
            </w:r>
          </w:p>
          <w:p>
            <w:pPr>
              <w:pStyle w:val="Normal"/>
              <w:widowControl w:val="false"/>
              <w:suppressAutoHyphens w:val="true"/>
              <w:spacing w:lineRule="auto" w:line="240" w:before="0" w:after="0"/>
              <w:jc w:val="left"/>
              <w:rPr>
                <w:b/>
                <w:b/>
                <w:bCs/>
              </w:rPr>
            </w:pPr>
            <w:r>
              <w:rPr>
                <w:rFonts w:eastAsia="宋体" w:cs=""/>
                <w:b/>
                <w:bCs/>
                <w:kern w:val="0"/>
                <w:sz w:val="22"/>
                <w:szCs w:val="22"/>
                <w:lang w:val="en-US" w:eastAsia="zh-CN" w:bidi="ar-SA"/>
              </w:rPr>
              <w:t xml:space="preserve">c) Preferred skills: </w:t>
            </w:r>
          </w:p>
          <w:p>
            <w:pPr>
              <w:pStyle w:val="Normal"/>
              <w:widowControl w:val="false"/>
              <w:suppressAutoHyphens w:val="true"/>
              <w:spacing w:lineRule="auto" w:line="240" w:before="0" w:after="0"/>
              <w:jc w:val="left"/>
              <w:rPr>
                <w:b/>
                <w:b/>
                <w:bCs/>
              </w:rPr>
            </w:pPr>
            <w:r>
              <w:rPr>
                <w:rFonts w:eastAsia="宋体" w:cs=""/>
                <w:b/>
                <w:bCs/>
                <w:kern w:val="0"/>
                <w:sz w:val="22"/>
                <w:szCs w:val="22"/>
                <w:lang w:val="en-US" w:eastAsia="zh-CN" w:bidi="ar-SA"/>
              </w:rPr>
              <w:t xml:space="preserve">A curiosity about microbes; </w:t>
            </w:r>
          </w:p>
          <w:p>
            <w:pPr>
              <w:pStyle w:val="Normal"/>
              <w:widowControl w:val="false"/>
              <w:suppressAutoHyphens w:val="true"/>
              <w:spacing w:lineRule="auto" w:line="240" w:before="0" w:after="0"/>
              <w:jc w:val="left"/>
              <w:rPr>
                <w:b/>
                <w:b/>
                <w:bCs/>
              </w:rPr>
            </w:pPr>
            <w:r>
              <w:rPr>
                <w:rFonts w:eastAsia="宋体" w:cs=""/>
                <w:b/>
                <w:bCs/>
                <w:kern w:val="0"/>
                <w:sz w:val="22"/>
                <w:szCs w:val="22"/>
                <w:lang w:val="en-US" w:eastAsia="zh-CN" w:bidi="ar-SA"/>
              </w:rPr>
              <w:t xml:space="preserve">An interest in coding; </w:t>
            </w:r>
          </w:p>
          <w:p>
            <w:pPr>
              <w:pStyle w:val="Normal"/>
              <w:widowControl w:val="false"/>
              <w:suppressAutoHyphens w:val="true"/>
              <w:spacing w:lineRule="auto" w:line="240" w:before="0" w:after="0"/>
              <w:jc w:val="left"/>
              <w:rPr>
                <w:b/>
                <w:b/>
                <w:bCs/>
              </w:rPr>
            </w:pPr>
            <w:r>
              <w:rPr>
                <w:rFonts w:eastAsia="宋体" w:cs=""/>
                <w:b/>
                <w:bCs/>
                <w:kern w:val="0"/>
                <w:sz w:val="22"/>
                <w:szCs w:val="22"/>
                <w:lang w:val="en-US" w:eastAsia="zh-CN" w:bidi="ar-SA"/>
              </w:rPr>
              <w:t>A dedication to research</w:t>
            </w:r>
          </w:p>
          <w:p>
            <w:pPr>
              <w:pStyle w:val="Normal"/>
              <w:widowControl w:val="false"/>
              <w:suppressAutoHyphens w:val="true"/>
              <w:spacing w:lineRule="auto" w:line="240" w:before="0" w:after="0"/>
              <w:jc w:val="left"/>
              <w:rPr>
                <w:rFonts w:ascii="Calibri" w:hAnsi="Calibri" w:eastAsia="宋体" w:cs=""/>
                <w:kern w:val="0"/>
                <w:sz w:val="22"/>
                <w:szCs w:val="22"/>
                <w:lang w:val="en-US" w:eastAsia="zh-CN" w:bidi="ar-SA"/>
              </w:rPr>
            </w:pPr>
            <w:r>
              <w:rPr>
                <w:rFonts w:eastAsia="宋体" w:cs=""/>
                <w:kern w:val="0"/>
                <w:sz w:val="22"/>
                <w:szCs w:val="22"/>
                <w:lang w:val="en-US" w:eastAsia="zh-CN" w:bidi="ar-SA"/>
              </w:rPr>
            </w:r>
          </w:p>
          <w:p>
            <w:pPr>
              <w:pStyle w:val="Normal"/>
              <w:widowControl w:val="false"/>
              <w:suppressAutoHyphens w:val="true"/>
              <w:spacing w:lineRule="auto" w:line="240" w:before="0" w:after="0"/>
              <w:jc w:val="left"/>
              <w:rPr>
                <w:rFonts w:ascii="Calibri" w:hAnsi="Calibri" w:eastAsia="宋体" w:cs=""/>
                <w:kern w:val="0"/>
                <w:sz w:val="22"/>
                <w:szCs w:val="22"/>
                <w:lang w:val="en-US" w:eastAsia="zh-CN" w:bidi="ar-SA"/>
              </w:rPr>
            </w:pPr>
            <w:r>
              <w:rPr>
                <w:rFonts w:eastAsia="宋体" w:cs=""/>
                <w:kern w:val="0"/>
                <w:sz w:val="22"/>
                <w:szCs w:val="22"/>
                <w:lang w:val="en-US" w:eastAsia="zh-CN" w:bidi="ar-SA"/>
              </w:rPr>
            </w:r>
          </w:p>
        </w:tc>
      </w:tr>
      <w:tr>
        <w:trPr/>
        <w:tc>
          <w:tcPr>
            <w:tcW w:w="9350" w:type="dxa"/>
            <w:tcBorders/>
          </w:tcPr>
          <w:p>
            <w:pPr>
              <w:pStyle w:val="Normal"/>
              <w:widowControl w:val="false"/>
              <w:suppressAutoHyphens w:val="true"/>
              <w:spacing w:lineRule="auto" w:line="240" w:before="0" w:after="0"/>
              <w:jc w:val="center"/>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Supervisor contact:</w:t>
            </w:r>
          </w:p>
          <w:p>
            <w:pPr>
              <w:pStyle w:val="Normal"/>
              <w:widowControl w:val="false"/>
              <w:suppressAutoHyphens w:val="true"/>
              <w:spacing w:lineRule="auto" w:line="240" w:before="0" w:after="0"/>
              <w:jc w:val="center"/>
              <w:rPr>
                <w:rFonts w:ascii="Calibri,Bold" w:hAnsi="Calibri,Bold" w:cs="Calibri,Bold"/>
                <w:b/>
                <w:b/>
                <w:bCs/>
                <w:color w:val="000000"/>
                <w:sz w:val="24"/>
                <w:szCs w:val="24"/>
              </w:rPr>
            </w:pPr>
            <w:r>
              <w:rPr>
                <w:rFonts w:eastAsia="宋体" w:cs="Calibri,Bold" w:ascii="Calibri,Bold" w:hAnsi="Calibri,Bold"/>
                <w:b/>
                <w:bCs/>
                <w:color w:val="000000"/>
                <w:kern w:val="0"/>
                <w:sz w:val="24"/>
                <w:szCs w:val="24"/>
                <w:lang w:val="en-US" w:eastAsia="zh-CN" w:bidi="ar-SA"/>
              </w:rPr>
              <w:t>If you have questions regarding this project, please email the Principal Investigator: anni.zhang@ntu.edu.sg</w:t>
            </w:r>
          </w:p>
          <w:p>
            <w:pPr>
              <w:pStyle w:val="Normal"/>
              <w:widowControl w:val="false"/>
              <w:suppressAutoHyphens w:val="true"/>
              <w:spacing w:lineRule="auto" w:line="240" w:before="0" w:after="0"/>
              <w:jc w:val="center"/>
              <w:rPr>
                <w:rFonts w:ascii="Calibri" w:hAnsi="Calibri" w:eastAsia="宋体" w:cs=""/>
                <w:kern w:val="0"/>
                <w:sz w:val="22"/>
                <w:szCs w:val="22"/>
                <w:lang w:val="en-US" w:eastAsia="zh-CN" w:bidi="ar-SA"/>
              </w:rPr>
            </w:pPr>
            <w:r>
              <w:rPr>
                <w:rFonts w:eastAsia="宋体" w:cs=""/>
                <w:kern w:val="0"/>
                <w:sz w:val="22"/>
                <w:szCs w:val="22"/>
                <w:lang w:val="en-US" w:eastAsia="zh-CN" w:bidi="ar-SA"/>
              </w:rPr>
            </w:r>
          </w:p>
        </w:tc>
      </w:tr>
      <w:tr>
        <w:trPr/>
        <w:tc>
          <w:tcPr>
            <w:tcW w:w="9350" w:type="dxa"/>
            <w:tcBorders/>
          </w:tcPr>
          <w:p>
            <w:pPr>
              <w:pStyle w:val="Normal"/>
              <w:widowControl w:val="false"/>
              <w:suppressAutoHyphens w:val="true"/>
              <w:spacing w:lineRule="auto" w:line="240" w:before="0" w:after="0"/>
              <w:jc w:val="center"/>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SBS contact and how to apply:</w:t>
            </w:r>
          </w:p>
          <w:p>
            <w:pPr>
              <w:pStyle w:val="Normal"/>
              <w:widowControl w:val="false"/>
              <w:suppressAutoHyphens w:val="true"/>
              <w:spacing w:lineRule="auto" w:line="240" w:before="0" w:after="0"/>
              <w:jc w:val="center"/>
              <w:rPr>
                <w:rFonts w:ascii="Calibri" w:hAnsi="Calibri" w:cs="Calibri"/>
                <w:color w:val="000000"/>
                <w:sz w:val="24"/>
                <w:szCs w:val="24"/>
              </w:rPr>
            </w:pPr>
            <w:r>
              <w:rPr>
                <w:rFonts w:eastAsia="宋体" w:cs="Calibri"/>
                <w:color w:val="000000"/>
                <w:kern w:val="0"/>
                <w:sz w:val="24"/>
                <w:szCs w:val="24"/>
                <w:lang w:val="en-US" w:eastAsia="zh-CN" w:bidi="ar-SA"/>
              </w:rPr>
              <w:t xml:space="preserve">Associate Chair-Biological Sciences (Graduate Studies) : </w:t>
            </w:r>
            <w:hyperlink r:id="rId2">
              <w:r>
                <w:rPr>
                  <w:rStyle w:val="InternetLink"/>
                  <w:rFonts w:eastAsia="宋体" w:cs="Calibri"/>
                  <w:kern w:val="0"/>
                  <w:sz w:val="24"/>
                  <w:szCs w:val="24"/>
                  <w:lang w:val="en-US" w:eastAsia="zh-CN" w:bidi="ar-SA"/>
                </w:rPr>
                <w:t>AC-SBS-GS@ntu.edu.sg</w:t>
              </w:r>
            </w:hyperlink>
            <w:r>
              <w:rPr>
                <w:rFonts w:eastAsia="宋体" w:cs="Calibri"/>
                <w:color w:val="000000"/>
                <w:kern w:val="0"/>
                <w:sz w:val="24"/>
                <w:szCs w:val="24"/>
                <w:lang w:val="en-US" w:eastAsia="zh-CN" w:bidi="ar-SA"/>
              </w:rPr>
              <w:t xml:space="preserve"> </w:t>
            </w:r>
          </w:p>
          <w:p>
            <w:pPr>
              <w:pStyle w:val="Normal"/>
              <w:widowControl w:val="false"/>
              <w:suppressAutoHyphens w:val="true"/>
              <w:spacing w:lineRule="auto" w:line="240" w:before="0" w:after="0"/>
              <w:jc w:val="center"/>
              <w:rPr>
                <w:rFonts w:ascii="Calibri" w:hAnsi="Calibri" w:cs="Calibri"/>
                <w:color w:val="000000"/>
                <w:sz w:val="24"/>
                <w:szCs w:val="24"/>
              </w:rPr>
            </w:pPr>
            <w:r>
              <w:rPr>
                <w:rFonts w:eastAsia="宋体" w:cs="Calibri"/>
                <w:color w:val="000000"/>
                <w:kern w:val="0"/>
                <w:sz w:val="24"/>
                <w:szCs w:val="24"/>
                <w:lang w:val="en-US" w:eastAsia="zh-CN" w:bidi="ar-SA"/>
              </w:rPr>
              <w:t xml:space="preserve">Please apply at the following: </w:t>
            </w:r>
          </w:p>
          <w:p>
            <w:pPr>
              <w:pStyle w:val="Normal"/>
              <w:widowControl w:val="false"/>
              <w:suppressAutoHyphens w:val="true"/>
              <w:spacing w:lineRule="auto" w:line="240" w:before="0" w:after="0"/>
              <w:jc w:val="center"/>
              <w:rPr/>
            </w:pPr>
            <w:r>
              <w:rPr>
                <w:rFonts w:eastAsia="宋体" w:cs="Calibri,Bold" w:ascii="Calibri,Bold" w:hAnsi="Calibri,Bold"/>
                <w:b/>
                <w:bCs/>
                <w:color w:val="0000FF"/>
                <w:kern w:val="0"/>
                <w:sz w:val="24"/>
                <w:szCs w:val="24"/>
                <w:lang w:val="en-US" w:eastAsia="zh-CN" w:bidi="ar-SA"/>
              </w:rPr>
              <w:t>Application portal:</w:t>
            </w:r>
            <w:r>
              <w:rPr>
                <w:rFonts w:eastAsia="宋体" w:cs="Calibri"/>
                <w:color w:val="1F497D"/>
                <w:kern w:val="0"/>
                <w:sz w:val="22"/>
                <w:szCs w:val="22"/>
                <w:lang w:val="en-US" w:eastAsia="zh-CN" w:bidi="ar-SA"/>
              </w:rPr>
              <w:t xml:space="preserve"> </w:t>
            </w:r>
            <w:hyperlink r:id="rId3">
              <w:r>
                <w:rPr>
                  <w:rStyle w:val="InternetLink"/>
                  <w:rFonts w:eastAsia="宋体" w:cs="Calibri"/>
                  <w:kern w:val="0"/>
                  <w:sz w:val="22"/>
                  <w:szCs w:val="22"/>
                  <w:lang w:val="en-US" w:eastAsia="zh-CN" w:bidi="ar-SA"/>
                </w:rPr>
                <w:t>https://venus.wis.ntu.edu.sg/GOAL/OnlineApplicationModule/frmOnlineApplication.ASPX</w:t>
              </w:r>
            </w:hyperlink>
            <w:r>
              <w:rPr>
                <w:rFonts w:eastAsia="宋体" w:cs="Calibri"/>
                <w:color w:val="000000"/>
                <w:kern w:val="0"/>
                <w:sz w:val="24"/>
                <w:szCs w:val="24"/>
                <w:lang w:val="en-US" w:eastAsia="zh-CN" w:bidi="ar-SA"/>
              </w:rPr>
              <w:br/>
            </w:r>
          </w:p>
        </w:tc>
      </w:tr>
    </w:tbl>
    <w:p>
      <w:pPr>
        <w:pStyle w:val="Normal"/>
        <w:widowControl/>
        <w:bidi w:val="0"/>
        <w:spacing w:lineRule="auto" w:line="276" w:before="0" w:after="200"/>
        <w:jc w:val="left"/>
        <w:rPr/>
      </w:pPr>
      <w:r>
        <w:rPr/>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Calibri">
    <w:altName w:val="Bol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000000"/>
        <w:sz w:val="16"/>
        <w:szCs w:val="16"/>
      </w:rPr>
    </w:pPr>
    <w:r>
      <w:rPr>
        <w:rFonts w:cs="Arial" w:ascii="Arial" w:hAnsi="Arial"/>
        <w:color w:val="000000"/>
        <w:sz w:val="16"/>
        <w:szCs w:val="16"/>
      </w:rPr>
      <w:t>60 Nanyang Drive, Singapore 637551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000000"/>
        <w:sz w:val="14"/>
        <w:szCs w:val="14"/>
      </w:rPr>
    </w:pPr>
    <w:r>
      <w:drawing>
        <wp:anchor behindDoc="1" distT="0" distB="0" distL="114300" distR="114300" simplePos="0" locked="0" layoutInCell="0" allowOverlap="1" relativeHeight="3">
          <wp:simplePos x="0" y="0"/>
          <wp:positionH relativeFrom="column">
            <wp:posOffset>-304800</wp:posOffset>
          </wp:positionH>
          <wp:positionV relativeFrom="paragraph">
            <wp:posOffset>-123825</wp:posOffset>
          </wp:positionV>
          <wp:extent cx="4465955" cy="1228725"/>
          <wp:effectExtent l="0" t="0" r="0" b="0"/>
          <wp:wrapSquare wrapText="bothSides"/>
          <wp:docPr id="1"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imeline&#10;&#10;Description automatically generated"/>
                  <pic:cNvPicPr>
                    <a:picLocks noChangeAspect="1" noChangeArrowheads="1"/>
                  </pic:cNvPicPr>
                </pic:nvPicPr>
                <pic:blipFill>
                  <a:blip r:embed="rId1"/>
                  <a:stretch>
                    <a:fillRect/>
                  </a:stretch>
                </pic:blipFill>
                <pic:spPr bwMode="auto">
                  <a:xfrm>
                    <a:off x="0" y="0"/>
                    <a:ext cx="4465955" cy="1228725"/>
                  </a:xfrm>
                  <a:prstGeom prst="rect">
                    <a:avLst/>
                  </a:prstGeom>
                </pic:spPr>
              </pic:pic>
            </a:graphicData>
          </a:graphic>
        </wp:anchor>
      </w:drawing>
    </w:r>
    <w:r>
      <w:rPr/>
      <w:tab/>
      <w:tab/>
      <w:tab/>
      <w:tab/>
      <w:tab/>
      <w:tab/>
      <w:tab/>
      <w:tab/>
      <w:tab/>
      <w:tab/>
      <w:tab/>
      <w:tab/>
      <w:tab/>
      <w:tab/>
      <w:tab/>
      <w:tab/>
      <w:tab/>
      <w:tab/>
    </w:r>
    <w:r>
      <w:rPr>
        <w:rFonts w:cs="Arial" w:ascii="Arial" w:hAnsi="Arial"/>
        <w:color w:val="000000"/>
        <w:sz w:val="14"/>
        <w:szCs w:val="14"/>
      </w:rPr>
      <w:t>Reg. No. 200604393R</w:t>
    </w:r>
  </w:p>
  <w:p>
    <w:pPr>
      <w:pStyle w:val="Header"/>
      <w:tabs>
        <w:tab w:val="clear" w:pos="4680"/>
        <w:tab w:val="clear" w:pos="9360"/>
        <w:tab w:val="left" w:pos="3987"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宋体" w:cs="" w:asciiTheme="minorHAnsi" w:cstheme="minorBidi" w:eastAsiaTheme="minorEastAsia" w:hAnsiTheme="minorHAnsi"/>
      <w:color w:val="auto"/>
      <w:kern w:val="0"/>
      <w:sz w:val="22"/>
      <w:szCs w:val="22"/>
      <w:lang w:val="en-US" w:eastAsia="zh-CN"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276e4"/>
    <w:rPr>
      <w:rFonts w:ascii="Tahoma" w:hAnsi="Tahoma" w:cs="Tahoma"/>
      <w:sz w:val="16"/>
      <w:szCs w:val="16"/>
    </w:rPr>
  </w:style>
  <w:style w:type="character" w:styleId="HeaderChar" w:customStyle="1">
    <w:name w:val="Header Char"/>
    <w:basedOn w:val="DefaultParagraphFont"/>
    <w:link w:val="Header"/>
    <w:uiPriority w:val="99"/>
    <w:qFormat/>
    <w:rsid w:val="003276e4"/>
    <w:rPr/>
  </w:style>
  <w:style w:type="character" w:styleId="FooterChar" w:customStyle="1">
    <w:name w:val="Footer Char"/>
    <w:basedOn w:val="DefaultParagraphFont"/>
    <w:link w:val="Footer"/>
    <w:uiPriority w:val="99"/>
    <w:qFormat/>
    <w:rsid w:val="003276e4"/>
    <w:rPr/>
  </w:style>
  <w:style w:type="character" w:styleId="InternetLink">
    <w:name w:val="Hyperlink"/>
    <w:basedOn w:val="DefaultParagraphFont"/>
    <w:uiPriority w:val="99"/>
    <w:unhideWhenUsed/>
    <w:rsid w:val="00ac766a"/>
    <w:rPr>
      <w:color w:val="0000FF" w:themeColor="hyperlink"/>
      <w:u w:val="single"/>
    </w:rPr>
  </w:style>
  <w:style w:type="character" w:styleId="VisitedInternetLink">
    <w:name w:val="FollowedHyperlink"/>
    <w:basedOn w:val="DefaultParagraphFont"/>
    <w:uiPriority w:val="99"/>
    <w:semiHidden/>
    <w:unhideWhenUsed/>
    <w:rsid w:val="006c0381"/>
    <w:rPr>
      <w:color w:val="800080" w:themeColor="followedHyperlink"/>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3276e4"/>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3276e4"/>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276e4"/>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c546ed"/>
    <w:pPr>
      <w:spacing w:lineRule="auto" w:line="240" w:beforeAutospacing="1" w:afterAutospacing="1"/>
    </w:pPr>
    <w:rPr>
      <w:rFonts w:ascii="Times New Roman" w:hAnsi="Times New Roman" w:eastAsia="Times New Roman" w:cs="Times New Roman"/>
      <w:sz w:val="24"/>
      <w:szCs w:val="24"/>
      <w:lang w:val="en-SG"/>
    </w:rPr>
  </w:style>
  <w:style w:type="paragraph" w:styleId="Default">
    <w:name w:val="Default"/>
    <w:qFormat/>
    <w:pPr>
      <w:widowControl/>
      <w:bidi w:val="0"/>
      <w:spacing w:before="0" w:after="0"/>
      <w:jc w:val="left"/>
    </w:pPr>
    <w:rPr>
      <w:rFonts w:ascii="Arial" w:hAnsi="Arial" w:cs="Arial" w:eastAsia="宋体"/>
      <w:color w:val="000000"/>
      <w:kern w:val="0"/>
      <w:sz w:val="22"/>
      <w:szCs w:val="22"/>
      <w:lang w:val="en-US" w:eastAsia="zh-CN"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04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C-SBS-GS@ntu.edu.sg" TargetMode="External"/><Relationship Id="rId3" Type="http://schemas.openxmlformats.org/officeDocument/2006/relationships/hyperlink" Target="https://venus.wis.ntu.edu.sg/GOAL/OnlineApplicationModule/frmOnlineApplication.ASPX"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3.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4.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Chem4Word</Template>
  <TotalTime>7</TotalTime>
  <Application>LibreOffice/7.3.7.2$Linux_X86_64 LibreOffice_project/30$Build-2</Application>
  <AppVersion>15.0000</AppVersion>
  <Pages>2</Pages>
  <Words>569</Words>
  <Characters>3580</Characters>
  <CharactersWithSpaces>4143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Khai Sian Victor</dc:creator>
  <dc:description/>
  <cp:lastModifiedBy/>
  <dcterms:created xsi:type="dcterms:W3CDTF">2023-09-22T01:33:00Z</dcterms:created>
  <dcterms:modified xsi:type="dcterms:W3CDTF">2024-09-19T05:17:21Z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