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59389D">
        <w:trPr>
          <w:trHeight w:val="350"/>
        </w:trPr>
        <w:tc>
          <w:tcPr>
            <w:tcW w:w="9350" w:type="dxa"/>
          </w:tcPr>
          <w:p w14:paraId="1B67594E" w14:textId="60B4B894"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8E1C56" w:rsidRPr="005836B4">
              <w:rPr>
                <w:rFonts w:ascii="Calibri,Bold" w:hAnsi="Calibri,Bold" w:cs="Calibri,Bold"/>
                <w:color w:val="000000" w:themeColor="text1"/>
                <w:sz w:val="24"/>
                <w:szCs w:val="24"/>
              </w:rPr>
              <w:t>Structural Biology and Dru</w:t>
            </w:r>
            <w:r w:rsidR="008E1C56">
              <w:rPr>
                <w:rFonts w:ascii="Calibri,Bold" w:hAnsi="Calibri,Bold" w:cs="Calibri,Bold"/>
                <w:color w:val="000000" w:themeColor="text1"/>
                <w:sz w:val="24"/>
                <w:szCs w:val="24"/>
              </w:rPr>
              <w:t>g</w:t>
            </w:r>
            <w:r w:rsidR="008E1C56" w:rsidRPr="005836B4">
              <w:rPr>
                <w:rFonts w:ascii="Calibri,Bold" w:hAnsi="Calibri,Bold" w:cs="Calibri,Bold"/>
                <w:color w:val="000000" w:themeColor="text1"/>
                <w:sz w:val="24"/>
                <w:szCs w:val="24"/>
              </w:rPr>
              <w:t xml:space="preserve"> Discovery in Infectious Disease</w:t>
            </w:r>
          </w:p>
        </w:tc>
      </w:tr>
      <w:tr w:rsidR="00E0492C" w14:paraId="1B675951" w14:textId="77777777" w:rsidTr="0059389D">
        <w:trPr>
          <w:trHeight w:val="620"/>
        </w:trPr>
        <w:tc>
          <w:tcPr>
            <w:tcW w:w="9350" w:type="dxa"/>
          </w:tcPr>
          <w:p w14:paraId="42CBD784" w14:textId="4C58D157" w:rsidR="0051240A" w:rsidRPr="0051240A" w:rsidRDefault="00935E7A" w:rsidP="0051240A">
            <w:pPr>
              <w:rPr>
                <w:rFonts w:cstheme="minorHAnsi"/>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r w:rsidR="00DA4E5C" w:rsidRPr="00CB766E">
              <w:rPr>
                <w:rFonts w:cstheme="minorHAnsi"/>
                <w:color w:val="000000" w:themeColor="text1"/>
                <w:sz w:val="24"/>
                <w:szCs w:val="24"/>
              </w:rPr>
              <w:t xml:space="preserve"> </w:t>
            </w:r>
            <w:r w:rsidR="0051240A" w:rsidRPr="0051240A">
              <w:rPr>
                <w:rFonts w:cstheme="minorHAnsi"/>
                <w:color w:val="000000" w:themeColor="text1"/>
                <w:sz w:val="24"/>
                <w:szCs w:val="24"/>
              </w:rPr>
              <w:t xml:space="preserve">Understanding the </w:t>
            </w:r>
            <w:r w:rsidR="0051240A" w:rsidRPr="0051240A">
              <w:rPr>
                <w:rFonts w:cstheme="minorHAnsi"/>
                <w:i/>
                <w:iCs/>
                <w:sz w:val="24"/>
                <w:szCs w:val="24"/>
              </w:rPr>
              <w:t>Acinetobacter</w:t>
            </w:r>
            <w:r w:rsidR="0051240A" w:rsidRPr="0051240A">
              <w:rPr>
                <w:rFonts w:cstheme="minorHAnsi"/>
                <w:i/>
                <w:iCs/>
                <w:color w:val="000000" w:themeColor="text1"/>
                <w:sz w:val="24"/>
                <w:szCs w:val="24"/>
              </w:rPr>
              <w:t xml:space="preserve"> baumannii</w:t>
            </w:r>
            <w:r w:rsidR="0051240A" w:rsidRPr="0051240A">
              <w:rPr>
                <w:rFonts w:cstheme="minorHAnsi"/>
                <w:color w:val="000000" w:themeColor="text1"/>
                <w:sz w:val="24"/>
                <w:szCs w:val="24"/>
              </w:rPr>
              <w:t xml:space="preserve"> F-ATP synthase to discover new inhibitor targets</w:t>
            </w:r>
          </w:p>
          <w:p w14:paraId="1B675950" w14:textId="37D5110F" w:rsidR="00E0492C" w:rsidRPr="00C546ED" w:rsidRDefault="00E0492C" w:rsidP="00A6409F">
            <w:pPr>
              <w:spacing w:line="360" w:lineRule="auto"/>
              <w:rPr>
                <w:lang w:val="en-SG"/>
              </w:rPr>
            </w:pPr>
          </w:p>
        </w:tc>
      </w:tr>
      <w:tr w:rsidR="00E0492C" w14:paraId="1B675953" w14:textId="77777777" w:rsidTr="0059389D">
        <w:trPr>
          <w:trHeight w:val="350"/>
        </w:trPr>
        <w:tc>
          <w:tcPr>
            <w:tcW w:w="9350" w:type="dxa"/>
          </w:tcPr>
          <w:p w14:paraId="1B675952" w14:textId="4F6EC7C4"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8E1C56" w:rsidRPr="005836B4">
              <w:rPr>
                <w:rFonts w:cstheme="minorHAnsi"/>
                <w:color w:val="000000" w:themeColor="text1"/>
                <w:sz w:val="24"/>
                <w:szCs w:val="24"/>
              </w:rPr>
              <w:t>Professor Dr Gerhard Grüber</w:t>
            </w:r>
          </w:p>
        </w:tc>
      </w:tr>
      <w:tr w:rsidR="00E0492C" w14:paraId="1B675955" w14:textId="77777777" w:rsidTr="0059389D">
        <w:trPr>
          <w:trHeight w:val="350"/>
        </w:trPr>
        <w:tc>
          <w:tcPr>
            <w:tcW w:w="9350" w:type="dxa"/>
          </w:tcPr>
          <w:p w14:paraId="1B675954" w14:textId="2FC0EF7F"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59389D">
        <w:trPr>
          <w:trHeight w:val="980"/>
        </w:trPr>
        <w:tc>
          <w:tcPr>
            <w:tcW w:w="9350"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70169AC1" w14:textId="77777777" w:rsidR="0051240A" w:rsidRDefault="00E0492C" w:rsidP="0051240A">
            <w:pPr>
              <w:jc w:val="both"/>
              <w:rPr>
                <w:rStyle w:val="A0"/>
                <w:rFonts w:ascii="Arial" w:hAnsi="Arial" w:cs="Arial"/>
              </w:rPr>
            </w:pPr>
            <w:r w:rsidRPr="008C0D33">
              <w:rPr>
                <w:rFonts w:cstheme="minorHAnsi"/>
                <w:b/>
                <w:bCs/>
                <w:color w:val="000000"/>
              </w:rPr>
              <w:t xml:space="preserve">a) Background: </w:t>
            </w:r>
            <w:r w:rsidR="0051240A" w:rsidRPr="0051240A">
              <w:rPr>
                <w:rFonts w:cstheme="minorHAnsi"/>
                <w:i/>
                <w:iCs/>
              </w:rPr>
              <w:t>Acinetobacter</w:t>
            </w:r>
            <w:r w:rsidR="0051240A" w:rsidRPr="0051240A">
              <w:rPr>
                <w:rFonts w:cstheme="minorHAnsi"/>
                <w:i/>
                <w:iCs/>
                <w:color w:val="000000" w:themeColor="text1"/>
              </w:rPr>
              <w:t xml:space="preserve"> baumannii</w:t>
            </w:r>
            <w:r w:rsidR="0051240A" w:rsidRPr="0051240A">
              <w:rPr>
                <w:rFonts w:cstheme="minorHAnsi"/>
                <w:color w:val="000000" w:themeColor="text1"/>
              </w:rPr>
              <w:t xml:space="preserve"> belongs to the class of </w:t>
            </w:r>
            <w:bookmarkStart w:id="0" w:name="_Hlk99109166"/>
            <w:r w:rsidR="0051240A" w:rsidRPr="0051240A">
              <w:rPr>
                <w:rFonts w:cstheme="minorHAnsi"/>
                <w:color w:val="000000" w:themeColor="text1"/>
              </w:rPr>
              <w:t xml:space="preserve">so-called </w:t>
            </w:r>
            <w:r w:rsidR="0051240A" w:rsidRPr="0051240A">
              <w:rPr>
                <w:rFonts w:cstheme="minorHAnsi"/>
              </w:rPr>
              <w:t>ESKAPE pathogens (</w:t>
            </w:r>
            <w:r w:rsidR="0051240A" w:rsidRPr="0051240A">
              <w:rPr>
                <w:rStyle w:val="hgkelc"/>
                <w:rFonts w:cstheme="minorHAnsi"/>
                <w:i/>
                <w:iCs/>
              </w:rPr>
              <w:t xml:space="preserve">Enterococcus faecium, </w:t>
            </w:r>
            <w:r w:rsidR="0051240A" w:rsidRPr="0051240A">
              <w:rPr>
                <w:rStyle w:val="hgkelc"/>
                <w:rFonts w:cstheme="minorHAnsi"/>
                <w:i/>
                <w:iCs/>
                <w:color w:val="000000" w:themeColor="text1"/>
              </w:rPr>
              <w:t>Staphylococcus aureus, Klebsiella pneumoniae, Acinetobacter baumannii, Pseudomonas aeruginosa</w:t>
            </w:r>
            <w:r w:rsidR="0051240A" w:rsidRPr="0051240A">
              <w:rPr>
                <w:rStyle w:val="hgkelc"/>
                <w:rFonts w:cstheme="minorHAnsi"/>
                <w:color w:val="000000" w:themeColor="text1"/>
              </w:rPr>
              <w:t xml:space="preserve">, and </w:t>
            </w:r>
            <w:r w:rsidR="0051240A" w:rsidRPr="0051240A">
              <w:rPr>
                <w:rStyle w:val="hgkelc"/>
                <w:rFonts w:cstheme="minorHAnsi"/>
                <w:i/>
                <w:iCs/>
                <w:color w:val="000000" w:themeColor="text1"/>
              </w:rPr>
              <w:t>Enterobacter species</w:t>
            </w:r>
            <w:bookmarkEnd w:id="0"/>
            <w:r w:rsidR="0051240A" w:rsidRPr="0051240A">
              <w:rPr>
                <w:rStyle w:val="hgkelc"/>
                <w:rFonts w:cstheme="minorHAnsi"/>
                <w:color w:val="000000" w:themeColor="text1"/>
              </w:rPr>
              <w:t xml:space="preserve">) and </w:t>
            </w:r>
            <w:r w:rsidR="0051240A" w:rsidRPr="0051240A">
              <w:rPr>
                <w:rFonts w:cstheme="minorHAnsi"/>
                <w:color w:val="000000" w:themeColor="text1"/>
              </w:rPr>
              <w:t xml:space="preserve">is regarded as </w:t>
            </w:r>
            <w:bookmarkStart w:id="1" w:name="_Hlk99109210"/>
            <w:r w:rsidR="0051240A" w:rsidRPr="0051240A">
              <w:rPr>
                <w:rFonts w:cstheme="minorHAnsi"/>
                <w:color w:val="000000" w:themeColor="text1"/>
              </w:rPr>
              <w:t>one of the most antibiotic-resistant bacteria</w:t>
            </w:r>
            <w:bookmarkEnd w:id="1"/>
            <w:r w:rsidR="0051240A" w:rsidRPr="0051240A">
              <w:rPr>
                <w:rFonts w:cstheme="minorHAnsi"/>
                <w:color w:val="000000" w:themeColor="text1"/>
              </w:rPr>
              <w:t xml:space="preserve">. The pathogen is of high clinical significance, as it causes infections in the hospital and community, with pneumonia being mostly observed. </w:t>
            </w:r>
            <w:bookmarkStart w:id="2" w:name="_Hlk99109889"/>
            <w:r w:rsidR="0051240A" w:rsidRPr="0051240A">
              <w:rPr>
                <w:rFonts w:cstheme="minorHAnsi"/>
                <w:color w:val="000000" w:themeColor="text1"/>
              </w:rPr>
              <w:t xml:space="preserve">Community-acquired infections are frequently observed in hot and humid countries like Singapore, leading to mortality rates of 64%. </w:t>
            </w:r>
            <w:r w:rsidR="0051240A" w:rsidRPr="0051240A">
              <w:rPr>
                <w:rFonts w:cstheme="minorHAnsi"/>
                <w:color w:val="000000" w:themeColor="text1"/>
                <w:lang w:val="en-SG"/>
              </w:rPr>
              <w:t>The number of</w:t>
            </w:r>
            <w:r w:rsidR="0051240A" w:rsidRPr="0051240A">
              <w:rPr>
                <w:rFonts w:cstheme="minorHAnsi"/>
                <w:color w:val="000000" w:themeColor="text1"/>
              </w:rPr>
              <w:t xml:space="preserve"> drug resistant and even pan-drug resistant </w:t>
            </w:r>
            <w:r w:rsidR="0051240A" w:rsidRPr="0051240A">
              <w:rPr>
                <w:rFonts w:cstheme="minorHAnsi"/>
                <w:i/>
                <w:iCs/>
                <w:color w:val="000000" w:themeColor="text1"/>
                <w:lang w:val="en-SG"/>
              </w:rPr>
              <w:t>A. baumannii</w:t>
            </w:r>
            <w:r w:rsidR="0051240A" w:rsidRPr="0051240A">
              <w:rPr>
                <w:rFonts w:cstheme="minorHAnsi"/>
                <w:color w:val="000000" w:themeColor="text1"/>
                <w:lang w:val="en-SG"/>
              </w:rPr>
              <w:t xml:space="preserve"> strains is arising, and with these the mortality rate.</w:t>
            </w:r>
            <w:bookmarkEnd w:id="2"/>
            <w:r w:rsidR="0051240A" w:rsidRPr="0051240A">
              <w:rPr>
                <w:rFonts w:cstheme="minorHAnsi"/>
                <w:color w:val="000000" w:themeColor="text1"/>
                <w:lang w:val="en-SG"/>
              </w:rPr>
              <w:t xml:space="preserve"> </w:t>
            </w:r>
            <w:r w:rsidR="0051240A" w:rsidRPr="0051240A">
              <w:rPr>
                <w:rFonts w:cstheme="minorHAnsi"/>
                <w:i/>
                <w:iCs/>
                <w:color w:val="000000" w:themeColor="text1"/>
              </w:rPr>
              <w:t>A. baumannii</w:t>
            </w:r>
            <w:r w:rsidR="0051240A" w:rsidRPr="0051240A">
              <w:rPr>
                <w:rFonts w:cstheme="minorHAnsi"/>
                <w:color w:val="000000" w:themeColor="text1"/>
              </w:rPr>
              <w:t xml:space="preserve"> is a gram-negative bacterium, nonfermenting and strictly aerobic pathogen. Due to this metabolic restriction, the pathogen catabolises its major fuels of carbohydrates via Glycolysis, the Krebs cycle followed by the process of oxidative phosphorylation to form the currency of life adenosine triphosphate (ATP). The proton motive force generated by the electron transport chain provides the energy for the F</w:t>
            </w:r>
            <w:r w:rsidR="0051240A" w:rsidRPr="0051240A">
              <w:rPr>
                <w:rFonts w:cstheme="minorHAnsi"/>
                <w:color w:val="000000" w:themeColor="text1"/>
                <w:vertAlign w:val="subscript"/>
              </w:rPr>
              <w:t>1</w:t>
            </w:r>
            <w:r w:rsidR="0051240A" w:rsidRPr="0051240A">
              <w:rPr>
                <w:rFonts w:cstheme="minorHAnsi"/>
                <w:color w:val="000000" w:themeColor="text1"/>
              </w:rPr>
              <w:t>F</w:t>
            </w:r>
            <w:r w:rsidR="0051240A" w:rsidRPr="0051240A">
              <w:rPr>
                <w:rFonts w:cstheme="minorHAnsi"/>
                <w:color w:val="000000" w:themeColor="text1"/>
                <w:vertAlign w:val="subscript"/>
              </w:rPr>
              <w:t>O</w:t>
            </w:r>
            <w:r w:rsidR="0051240A" w:rsidRPr="0051240A">
              <w:rPr>
                <w:rFonts w:cstheme="minorHAnsi"/>
                <w:color w:val="000000" w:themeColor="text1"/>
              </w:rPr>
              <w:t xml:space="preserve"> ATP synthase (F-ATP synthase) to condense adenosine diphosphate (ADP) and inorganic phosphate (P</w:t>
            </w:r>
            <w:r w:rsidR="0051240A" w:rsidRPr="0051240A">
              <w:rPr>
                <w:rFonts w:cstheme="minorHAnsi"/>
                <w:color w:val="000000" w:themeColor="text1"/>
                <w:vertAlign w:val="subscript"/>
              </w:rPr>
              <w:t>i</w:t>
            </w:r>
            <w:r w:rsidR="0051240A" w:rsidRPr="0051240A">
              <w:rPr>
                <w:rFonts w:cstheme="minorHAnsi"/>
                <w:color w:val="000000" w:themeColor="text1"/>
              </w:rPr>
              <w:t>) to ATP.</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1B675962" w14:textId="77777777" w:rsidR="00E0492C" w:rsidRDefault="00E0492C" w:rsidP="00E0492C">
            <w:pPr>
              <w:autoSpaceDE w:val="0"/>
              <w:autoSpaceDN w:val="0"/>
              <w:adjustRightInd w:val="0"/>
              <w:rPr>
                <w:rFonts w:ascii="Calibri,Bold" w:hAnsi="Calibri,Bold" w:cs="Calibri,Bold"/>
                <w:b/>
                <w:bCs/>
                <w:color w:val="000000"/>
              </w:rPr>
            </w:pPr>
            <w:r>
              <w:rPr>
                <w:rFonts w:ascii="Calibri,Bold" w:hAnsi="Calibri,Bold" w:cs="Calibri,Bold"/>
                <w:b/>
                <w:bCs/>
                <w:color w:val="000000"/>
              </w:rPr>
              <w:t>b) Proposed work:</w:t>
            </w:r>
          </w:p>
          <w:p w14:paraId="45D0E582" w14:textId="74D95E7A" w:rsidR="008C0D33" w:rsidRPr="0051240A" w:rsidRDefault="0051240A" w:rsidP="008C0D33">
            <w:pPr>
              <w:jc w:val="both"/>
              <w:rPr>
                <w:rFonts w:cstheme="minorHAnsi"/>
              </w:rPr>
            </w:pPr>
            <w:r w:rsidRPr="0051240A">
              <w:rPr>
                <w:rFonts w:cstheme="minorHAnsi"/>
              </w:rPr>
              <w:t xml:space="preserve">New inhibitors to fight </w:t>
            </w:r>
            <w:r w:rsidRPr="0051240A">
              <w:rPr>
                <w:rFonts w:cstheme="minorHAnsi"/>
                <w:i/>
                <w:iCs/>
                <w:color w:val="000000" w:themeColor="text1"/>
              </w:rPr>
              <w:t>A. baumannii</w:t>
            </w:r>
            <w:r w:rsidRPr="0051240A">
              <w:rPr>
                <w:rFonts w:cstheme="minorHAnsi"/>
              </w:rPr>
              <w:t xml:space="preserve"> are needed. This project aims to target the </w:t>
            </w:r>
            <w:r w:rsidRPr="0051240A">
              <w:rPr>
                <w:rFonts w:cstheme="minorHAnsi"/>
                <w:i/>
                <w:iCs/>
                <w:color w:val="000000" w:themeColor="text1"/>
              </w:rPr>
              <w:t>A. baumannii</w:t>
            </w:r>
            <w:r w:rsidRPr="0051240A">
              <w:rPr>
                <w:rFonts w:cstheme="minorHAnsi"/>
              </w:rPr>
              <w:t>’s F</w:t>
            </w:r>
            <w:r w:rsidRPr="0051240A">
              <w:rPr>
                <w:rFonts w:cstheme="minorHAnsi"/>
                <w:vertAlign w:val="subscript"/>
              </w:rPr>
              <w:t>1</w:t>
            </w:r>
            <w:r w:rsidRPr="0051240A">
              <w:rPr>
                <w:rFonts w:cstheme="minorHAnsi"/>
              </w:rPr>
              <w:t>F</w:t>
            </w:r>
            <w:r w:rsidRPr="0051240A">
              <w:rPr>
                <w:rFonts w:cstheme="minorHAnsi"/>
                <w:vertAlign w:val="subscript"/>
              </w:rPr>
              <w:t>O</w:t>
            </w:r>
            <w:r w:rsidRPr="0051240A">
              <w:rPr>
                <w:rFonts w:cstheme="minorHAnsi"/>
              </w:rPr>
              <w:t>-ATP synthase, and to archive new structural-, mechanistic-, regulative- and genetic insights into this enzyme, to pave the way for deciphering novel drug targets inside the catalyst. Our team has longstanding expertise in mycobacterial bioenergetics, -structural biology, -genetics and -drug discovery</w:t>
            </w:r>
            <w:r w:rsidR="008C0D33" w:rsidRPr="0051240A">
              <w:rPr>
                <w:rFonts w:cstheme="minorHAnsi"/>
              </w:rPr>
              <w:t>.</w:t>
            </w:r>
          </w:p>
          <w:p w14:paraId="1B675965" w14:textId="27F378B0" w:rsidR="00E0492C" w:rsidRDefault="00E0492C"/>
          <w:p w14:paraId="261CB943" w14:textId="0728A4F6" w:rsidR="00567DC9" w:rsidRPr="00567DC9" w:rsidRDefault="00567DC9" w:rsidP="00567DC9">
            <w:pPr>
              <w:rPr>
                <w:b/>
                <w:bCs/>
              </w:rPr>
            </w:pPr>
            <w:r w:rsidRPr="00567DC9">
              <w:rPr>
                <w:b/>
                <w:bCs/>
              </w:rPr>
              <w:t>c) Preferred skills:</w:t>
            </w:r>
            <w:r w:rsidR="00116445">
              <w:rPr>
                <w:b/>
                <w:bCs/>
              </w:rPr>
              <w:t xml:space="preserve"> computation work on data analysis would be a big plus, but not indispensable</w:t>
            </w:r>
          </w:p>
          <w:p w14:paraId="18C2098F" w14:textId="77777777" w:rsidR="008C0D33" w:rsidRDefault="008C0D33" w:rsidP="008C0D33">
            <w:r w:rsidRPr="00D06360">
              <w:t>Have fun with science, be open for new approaches and enjoy working together in a lovely team.</w:t>
            </w:r>
          </w:p>
          <w:p w14:paraId="1B675967" w14:textId="66F5843F" w:rsidR="00E0492C" w:rsidRDefault="008C0D33" w:rsidP="008C0D33">
            <w:r>
              <w:t xml:space="preserve">Find more </w:t>
            </w:r>
            <w:r w:rsidRPr="00FF4AFA">
              <w:t xml:space="preserve">about us under: </w:t>
            </w:r>
            <w:hyperlink r:id="rId11" w:history="1">
              <w:r w:rsidRPr="00FF4AFA">
                <w:rPr>
                  <w:rStyle w:val="Hyperlink"/>
                </w:rPr>
                <w:t>http://labs.sbs.ntu.edu.sg/ggrueber/</w:t>
              </w:r>
            </w:hyperlink>
          </w:p>
          <w:p w14:paraId="1B67596B" w14:textId="5A9006A7" w:rsidR="00CB766E" w:rsidRDefault="00CB766E"/>
        </w:tc>
      </w:tr>
      <w:tr w:rsidR="00E0492C" w14:paraId="1B675970" w14:textId="77777777" w:rsidTr="0059389D">
        <w:tc>
          <w:tcPr>
            <w:tcW w:w="9350"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1B67596F" w14:textId="5C814EDA" w:rsidR="00CB766E" w:rsidRPr="0023780A" w:rsidRDefault="00CB766E" w:rsidP="0023780A">
            <w:pPr>
              <w:jc w:val="center"/>
              <w:rPr>
                <w:rFonts w:cstheme="minorHAnsi"/>
                <w:color w:val="0000FF" w:themeColor="hyperlink"/>
                <w:sz w:val="24"/>
                <w:szCs w:val="24"/>
                <w:u w:val="single"/>
              </w:rPr>
            </w:pPr>
            <w:r w:rsidRPr="00D06360">
              <w:rPr>
                <w:rFonts w:cstheme="minorHAnsi"/>
                <w:sz w:val="24"/>
                <w:szCs w:val="24"/>
              </w:rPr>
              <w:t>Email:</w:t>
            </w:r>
            <w:r w:rsidRPr="00D06360">
              <w:rPr>
                <w:rStyle w:val="xapple-converted-space"/>
                <w:rFonts w:cstheme="minorHAnsi"/>
                <w:sz w:val="24"/>
                <w:szCs w:val="24"/>
              </w:rPr>
              <w:t> </w:t>
            </w:r>
            <w:hyperlink r:id="rId12" w:history="1">
              <w:r w:rsidRPr="00D06360">
                <w:rPr>
                  <w:rStyle w:val="Hyperlink"/>
                  <w:rFonts w:cstheme="minorHAnsi"/>
                  <w:sz w:val="24"/>
                  <w:szCs w:val="24"/>
                </w:rPr>
                <w:t>GGrueber@ntu.edu.sg</w:t>
              </w:r>
            </w:hyperlink>
          </w:p>
        </w:tc>
      </w:tr>
      <w:tr w:rsidR="00E0492C" w14:paraId="1B675975" w14:textId="77777777" w:rsidTr="0059389D">
        <w:tc>
          <w:tcPr>
            <w:tcW w:w="9350"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Associate Chair-Biological Sciences (Graduate Studies) : </w:t>
            </w:r>
            <w:hyperlink r:id="rId13"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lastRenderedPageBreak/>
              <w:t>Application portal:</w:t>
            </w:r>
            <w:r>
              <w:rPr>
                <w:rFonts w:ascii="Calibri" w:hAnsi="Calibri" w:cs="Calibri"/>
                <w:color w:val="1F497D"/>
              </w:rPr>
              <w:t xml:space="preserve"> </w:t>
            </w:r>
            <w:hyperlink r:id="rId14"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ED4B" w14:textId="77777777" w:rsidR="00EB13D0" w:rsidRDefault="00EB13D0" w:rsidP="003276E4">
      <w:pPr>
        <w:spacing w:after="0" w:line="240" w:lineRule="auto"/>
      </w:pPr>
      <w:r>
        <w:separator/>
      </w:r>
    </w:p>
  </w:endnote>
  <w:endnote w:type="continuationSeparator" w:id="0">
    <w:p w14:paraId="4B0001B6" w14:textId="77777777" w:rsidR="00EB13D0" w:rsidRDefault="00EB13D0"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83F7" w14:textId="77777777" w:rsidR="00EB13D0" w:rsidRDefault="00EB13D0" w:rsidP="003276E4">
      <w:pPr>
        <w:spacing w:after="0" w:line="240" w:lineRule="auto"/>
      </w:pPr>
      <w:r>
        <w:separator/>
      </w:r>
    </w:p>
  </w:footnote>
  <w:footnote w:type="continuationSeparator" w:id="0">
    <w:p w14:paraId="776045A3" w14:textId="77777777" w:rsidR="00EB13D0" w:rsidRDefault="00EB13D0"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94498">
    <w:abstractNumId w:val="1"/>
  </w:num>
  <w:num w:numId="2" w16cid:durableId="2137064044">
    <w:abstractNumId w:val="2"/>
  </w:num>
  <w:num w:numId="3" w16cid:durableId="13584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33AFB"/>
    <w:rsid w:val="00033CE6"/>
    <w:rsid w:val="00037494"/>
    <w:rsid w:val="0008062E"/>
    <w:rsid w:val="00090B6D"/>
    <w:rsid w:val="00094B3E"/>
    <w:rsid w:val="000D7B54"/>
    <w:rsid w:val="00106998"/>
    <w:rsid w:val="001153EE"/>
    <w:rsid w:val="00116445"/>
    <w:rsid w:val="00124732"/>
    <w:rsid w:val="0014176C"/>
    <w:rsid w:val="00176FEA"/>
    <w:rsid w:val="00184FF9"/>
    <w:rsid w:val="00194A1F"/>
    <w:rsid w:val="001E40A8"/>
    <w:rsid w:val="0023780A"/>
    <w:rsid w:val="00277885"/>
    <w:rsid w:val="002A0288"/>
    <w:rsid w:val="002F46E2"/>
    <w:rsid w:val="002F70EA"/>
    <w:rsid w:val="003116D4"/>
    <w:rsid w:val="003276E4"/>
    <w:rsid w:val="003830D9"/>
    <w:rsid w:val="003D2D88"/>
    <w:rsid w:val="003E0C67"/>
    <w:rsid w:val="00482249"/>
    <w:rsid w:val="00487E01"/>
    <w:rsid w:val="004E10BE"/>
    <w:rsid w:val="0051240A"/>
    <w:rsid w:val="00542CFC"/>
    <w:rsid w:val="00567DC9"/>
    <w:rsid w:val="0059389D"/>
    <w:rsid w:val="005F1F22"/>
    <w:rsid w:val="00613E0F"/>
    <w:rsid w:val="00620B3A"/>
    <w:rsid w:val="006327F7"/>
    <w:rsid w:val="00667931"/>
    <w:rsid w:val="006C0381"/>
    <w:rsid w:val="00707275"/>
    <w:rsid w:val="00724EBA"/>
    <w:rsid w:val="00777435"/>
    <w:rsid w:val="007D139F"/>
    <w:rsid w:val="00826C51"/>
    <w:rsid w:val="00826C65"/>
    <w:rsid w:val="00875D40"/>
    <w:rsid w:val="008B60D1"/>
    <w:rsid w:val="008C0D33"/>
    <w:rsid w:val="008D44CA"/>
    <w:rsid w:val="008E1C56"/>
    <w:rsid w:val="00935E7A"/>
    <w:rsid w:val="009C4A8A"/>
    <w:rsid w:val="009E0E58"/>
    <w:rsid w:val="009E2316"/>
    <w:rsid w:val="009F60DE"/>
    <w:rsid w:val="00A202A3"/>
    <w:rsid w:val="00A33787"/>
    <w:rsid w:val="00A360A9"/>
    <w:rsid w:val="00A6409F"/>
    <w:rsid w:val="00A66088"/>
    <w:rsid w:val="00AC766A"/>
    <w:rsid w:val="00AD5567"/>
    <w:rsid w:val="00B0049A"/>
    <w:rsid w:val="00B511BD"/>
    <w:rsid w:val="00B86E05"/>
    <w:rsid w:val="00B94E67"/>
    <w:rsid w:val="00BD4292"/>
    <w:rsid w:val="00BE3F2A"/>
    <w:rsid w:val="00C05439"/>
    <w:rsid w:val="00C33882"/>
    <w:rsid w:val="00C546ED"/>
    <w:rsid w:val="00C8671F"/>
    <w:rsid w:val="00CB766E"/>
    <w:rsid w:val="00D078A5"/>
    <w:rsid w:val="00D50A47"/>
    <w:rsid w:val="00D60A51"/>
    <w:rsid w:val="00D62245"/>
    <w:rsid w:val="00DA4E5C"/>
    <w:rsid w:val="00DF3233"/>
    <w:rsid w:val="00E01281"/>
    <w:rsid w:val="00E0492C"/>
    <w:rsid w:val="00E27D91"/>
    <w:rsid w:val="00E77A27"/>
    <w:rsid w:val="00E8579B"/>
    <w:rsid w:val="00EB13D0"/>
    <w:rsid w:val="00F020D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 w:type="character" w:customStyle="1" w:styleId="xapple-converted-space">
    <w:name w:val="x_apple-converted-space"/>
    <w:basedOn w:val="DefaultParagraphFont"/>
    <w:rsid w:val="00CB766E"/>
  </w:style>
  <w:style w:type="character" w:customStyle="1" w:styleId="A0">
    <w:name w:val="A0"/>
    <w:uiPriority w:val="99"/>
    <w:rsid w:val="0051240A"/>
    <w:rPr>
      <w:color w:val="221E1F"/>
      <w:sz w:val="56"/>
      <w:szCs w:val="56"/>
    </w:rPr>
  </w:style>
  <w:style w:type="character" w:customStyle="1" w:styleId="hgkelc">
    <w:name w:val="hgkelc"/>
    <w:basedOn w:val="DefaultParagraphFont"/>
    <w:rsid w:val="0051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SBS-GS@ntu.edu.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rueber@ntu.edu.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3A__labs.sbs.ntu.edu.sg_ggrueber_&amp;d=DwMGaQ&amp;c=-35OiAkTchMrZOngvJPOeA&amp;r=HV1fZYhfXUUwy6dDeaQAAp6RV8MkzdW4gglgDMYJPM8&amp;m=AJ-xqFx8earTT6JIB522XZQpVBHAnkExhJUeN2XQQlE&amp;s=V69JteuFJYWiGP_1O2vTv32cPU9HVHFU6UERkYrnwOY&am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nus.wis.ntu.edu.sg/GOAL/OnlineApplicationModule/frmOnlineApplica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3.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4.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2</Pages>
  <Words>411</Words>
  <Characters>2667</Characters>
  <Application>Microsoft Office Word</Application>
  <DocSecurity>4</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Khai Sian Victor</dc:creator>
  <cp:lastModifiedBy>Chong Chye Hong, May</cp:lastModifiedBy>
  <cp:revision>2</cp:revision>
  <dcterms:created xsi:type="dcterms:W3CDTF">2022-11-23T10:34:00Z</dcterms:created>
  <dcterms:modified xsi:type="dcterms:W3CDTF">2022-11-23T10:34:00Z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